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630"/>
      </w:tblGrid>
      <w:tr w:rsidR="00964D18" w14:paraId="2B2E232F" w14:textId="77777777">
        <w:trPr>
          <w:jc w:val="center"/>
        </w:trPr>
        <w:tc>
          <w:tcPr>
            <w:tcW w:w="11016" w:type="dxa"/>
            <w:shd w:val="clear" w:color="auto" w:fill="D9D9D9"/>
          </w:tcPr>
          <w:p w14:paraId="689EB261" w14:textId="77777777" w:rsidR="00964D18" w:rsidRDefault="00964D1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Exercise </w:t>
            </w:r>
            <w:r>
              <w:rPr>
                <w:rFonts w:ascii="Arial" w:hAnsi="Arial" w:cs="Arial"/>
                <w:b/>
                <w:bCs/>
                <w:sz w:val="22"/>
              </w:rPr>
              <w:br/>
              <w:t xml:space="preserve"> </w:t>
            </w:r>
            <w:r w:rsidR="001E209A">
              <w:rPr>
                <w:rFonts w:ascii="Arial" w:hAnsi="Arial" w:cs="Arial"/>
                <w:b/>
                <w:bCs/>
                <w:sz w:val="22"/>
              </w:rPr>
              <w:t xml:space="preserve">The Spinning of </w:t>
            </w:r>
            <w:r w:rsidR="00CF6CEF">
              <w:rPr>
                <w:rFonts w:ascii="Arial" w:hAnsi="Arial" w:cs="Arial"/>
                <w:b/>
                <w:bCs/>
                <w:sz w:val="22"/>
              </w:rPr>
              <w:t>*</w:t>
            </w:r>
            <w:r w:rsidR="001E209A">
              <w:rPr>
                <w:rFonts w:ascii="Arial" w:hAnsi="Arial" w:cs="Arial"/>
                <w:b/>
                <w:bCs/>
                <w:sz w:val="22"/>
              </w:rPr>
              <w:t>Isms</w:t>
            </w:r>
          </w:p>
        </w:tc>
      </w:tr>
    </w:tbl>
    <w:p w14:paraId="240883CA" w14:textId="77777777" w:rsidR="00964D18" w:rsidRDefault="00964D18">
      <w:pPr>
        <w:rPr>
          <w:rFonts w:ascii="Arial" w:hAnsi="Arial" w:cs="Arial"/>
          <w:sz w:val="22"/>
        </w:rPr>
      </w:pPr>
    </w:p>
    <w:p w14:paraId="75B49B52" w14:textId="77777777" w:rsidR="00964D18" w:rsidRDefault="00964D18">
      <w:pPr>
        <w:rPr>
          <w:rFonts w:ascii="Arial" w:hAnsi="Arial" w:cs="Arial"/>
          <w:sz w:val="22"/>
        </w:rPr>
      </w:pPr>
    </w:p>
    <w:p w14:paraId="2CB788CF" w14:textId="6B399014" w:rsidR="009451C4" w:rsidRDefault="009451C4">
      <w:pPr>
        <w:rPr>
          <w:rFonts w:ascii="Arial" w:hAnsi="Arial" w:cs="Arial"/>
          <w:sz w:val="22"/>
        </w:rPr>
      </w:pPr>
      <w:r w:rsidRPr="009451C4">
        <w:rPr>
          <w:rFonts w:ascii="Arial" w:hAnsi="Arial" w:cs="Arial"/>
          <w:sz w:val="22"/>
        </w:rPr>
        <w:t>Smith</w:t>
      </w:r>
      <w:r w:rsidR="003E2067">
        <w:rPr>
          <w:rFonts w:ascii="Arial" w:hAnsi="Arial" w:cs="Arial"/>
          <w:sz w:val="22"/>
        </w:rPr>
        <w:t xml:space="preserve"> and colleagues</w:t>
      </w:r>
      <w:r w:rsidRPr="009451C4">
        <w:rPr>
          <w:rFonts w:ascii="Arial" w:hAnsi="Arial" w:cs="Arial"/>
          <w:sz w:val="22"/>
        </w:rPr>
        <w:t xml:space="preserve"> (2008)</w:t>
      </w:r>
      <w:r>
        <w:rPr>
          <w:rFonts w:ascii="Arial" w:hAnsi="Arial" w:cs="Arial"/>
          <w:sz w:val="22"/>
        </w:rPr>
        <w:t xml:space="preserve"> identified a number of ways in which individuals spin the truth about racism. Expand your thinking about these conceptual</w:t>
      </w:r>
      <w:r w:rsidR="00A6592D">
        <w:rPr>
          <w:rFonts w:ascii="Arial" w:hAnsi="Arial" w:cs="Arial"/>
          <w:sz w:val="22"/>
        </w:rPr>
        <w:t xml:space="preserve"> traps to include other “</w:t>
      </w:r>
      <w:r w:rsidR="00CF6CEF">
        <w:rPr>
          <w:rFonts w:ascii="Arial" w:hAnsi="Arial" w:cs="Arial"/>
          <w:sz w:val="22"/>
        </w:rPr>
        <w:t>*</w:t>
      </w:r>
      <w:r w:rsidR="00A6592D">
        <w:rPr>
          <w:rFonts w:ascii="Arial" w:hAnsi="Arial" w:cs="Arial"/>
          <w:sz w:val="22"/>
        </w:rPr>
        <w:t xml:space="preserve">isms” such as those </w:t>
      </w:r>
      <w:r>
        <w:rPr>
          <w:rFonts w:ascii="Arial" w:hAnsi="Arial" w:cs="Arial"/>
          <w:sz w:val="22"/>
        </w:rPr>
        <w:t>based on gender, sexual orientation, socioeconomic status, age, ability,</w:t>
      </w:r>
      <w:r w:rsidR="00A6592D">
        <w:rPr>
          <w:rFonts w:ascii="Arial" w:hAnsi="Arial" w:cs="Arial"/>
          <w:sz w:val="22"/>
        </w:rPr>
        <w:t xml:space="preserve"> and so on</w:t>
      </w:r>
      <w:r>
        <w:rPr>
          <w:rFonts w:ascii="Arial" w:hAnsi="Arial" w:cs="Arial"/>
          <w:sz w:val="22"/>
        </w:rPr>
        <w:t xml:space="preserve">. Using the table below, identify one example from your own experience, attitudes, or beliefs that reflects each of the ways in which </w:t>
      </w:r>
      <w:r w:rsidR="00CF6CEF"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>isms can be spun to soften their impact or hide the reality of cultural oppression. Remember t</w:t>
      </w:r>
      <w:r w:rsidR="00A6592D">
        <w:rPr>
          <w:rFonts w:ascii="Arial" w:hAnsi="Arial" w:cs="Arial"/>
          <w:sz w:val="22"/>
        </w:rPr>
        <w:t>hat these are cognitive tendencies</w:t>
      </w:r>
      <w:r>
        <w:rPr>
          <w:rFonts w:ascii="Arial" w:hAnsi="Arial" w:cs="Arial"/>
          <w:sz w:val="22"/>
        </w:rPr>
        <w:t xml:space="preserve"> that we all struggle with</w:t>
      </w:r>
      <w:r w:rsidR="00A6592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so try to suspend your judgment and simply explore how your own mind can lead you down these paths. </w:t>
      </w:r>
    </w:p>
    <w:p w14:paraId="180835F5" w14:textId="77777777" w:rsidR="009451C4" w:rsidRDefault="009451C4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210"/>
      </w:tblGrid>
      <w:tr w:rsidR="009451C4" w:rsidRPr="00B871AC" w14:paraId="5B1D0090" w14:textId="77777777" w:rsidTr="00B871AC">
        <w:trPr>
          <w:trHeight w:val="1718"/>
        </w:trPr>
        <w:tc>
          <w:tcPr>
            <w:tcW w:w="2448" w:type="dxa"/>
          </w:tcPr>
          <w:p w14:paraId="0E0AB9CB" w14:textId="77777777" w:rsidR="009451C4" w:rsidRPr="00B871AC" w:rsidRDefault="008F5B18" w:rsidP="005A0CCF">
            <w:pPr>
              <w:rPr>
                <w:rFonts w:ascii="Arial" w:hAnsi="Arial" w:cs="Arial"/>
                <w:sz w:val="22"/>
              </w:rPr>
            </w:pPr>
            <w:r w:rsidRPr="00B871AC">
              <w:rPr>
                <w:rFonts w:ascii="Arial" w:hAnsi="Arial" w:cs="Arial"/>
                <w:sz w:val="22"/>
              </w:rPr>
              <w:t>Colour-blindness</w:t>
            </w:r>
            <w:r w:rsidR="00BF71F8" w:rsidRPr="00B871AC">
              <w:rPr>
                <w:rFonts w:ascii="Arial" w:hAnsi="Arial" w:cs="Arial"/>
                <w:sz w:val="22"/>
              </w:rPr>
              <w:t>/ culture-blindness</w:t>
            </w:r>
            <w:r w:rsidR="00E314B5">
              <w:rPr>
                <w:rFonts w:ascii="Arial" w:hAnsi="Arial" w:cs="Arial"/>
                <w:sz w:val="22"/>
              </w:rPr>
              <w:t xml:space="preserve"> = we are </w:t>
            </w:r>
            <w:r w:rsidR="005A0CCF">
              <w:rPr>
                <w:rFonts w:ascii="Arial" w:hAnsi="Arial" w:cs="Arial"/>
                <w:sz w:val="22"/>
              </w:rPr>
              <w:t xml:space="preserve">all </w:t>
            </w:r>
            <w:r w:rsidR="00E314B5">
              <w:rPr>
                <w:rFonts w:ascii="Arial" w:hAnsi="Arial" w:cs="Arial"/>
                <w:sz w:val="22"/>
              </w:rPr>
              <w:t>human beings</w:t>
            </w:r>
          </w:p>
        </w:tc>
        <w:tc>
          <w:tcPr>
            <w:tcW w:w="6408" w:type="dxa"/>
          </w:tcPr>
          <w:p w14:paraId="4C8666A7" w14:textId="77777777" w:rsidR="009451C4" w:rsidRPr="00B871AC" w:rsidRDefault="009451C4">
            <w:pPr>
              <w:rPr>
                <w:rFonts w:ascii="Arial" w:hAnsi="Arial" w:cs="Arial"/>
                <w:sz w:val="22"/>
              </w:rPr>
            </w:pPr>
          </w:p>
        </w:tc>
      </w:tr>
      <w:tr w:rsidR="009451C4" w:rsidRPr="00B871AC" w14:paraId="0010F503" w14:textId="77777777" w:rsidTr="00B871AC">
        <w:trPr>
          <w:trHeight w:val="1790"/>
        </w:trPr>
        <w:tc>
          <w:tcPr>
            <w:tcW w:w="2448" w:type="dxa"/>
          </w:tcPr>
          <w:p w14:paraId="02AB83BC" w14:textId="77777777" w:rsidR="009451C4" w:rsidRPr="00B871AC" w:rsidRDefault="008F5B18" w:rsidP="005A0CCF">
            <w:pPr>
              <w:rPr>
                <w:rFonts w:ascii="Arial" w:hAnsi="Arial" w:cs="Arial"/>
                <w:sz w:val="22"/>
              </w:rPr>
            </w:pPr>
            <w:r w:rsidRPr="00B871AC">
              <w:rPr>
                <w:rFonts w:ascii="Arial" w:hAnsi="Arial" w:cs="Arial"/>
                <w:sz w:val="22"/>
              </w:rPr>
              <w:t>Racism</w:t>
            </w:r>
            <w:r w:rsidR="00BF71F8" w:rsidRPr="00B871AC">
              <w:rPr>
                <w:rFonts w:ascii="Arial" w:hAnsi="Arial" w:cs="Arial"/>
                <w:sz w:val="22"/>
              </w:rPr>
              <w:t xml:space="preserve">, sexism, heterosexism, </w:t>
            </w:r>
            <w:r w:rsidR="005A0CCF">
              <w:rPr>
                <w:rFonts w:ascii="Arial" w:hAnsi="Arial" w:cs="Arial"/>
                <w:sz w:val="22"/>
              </w:rPr>
              <w:t>and so on</w:t>
            </w:r>
            <w:r w:rsidR="00CF6CEF">
              <w:rPr>
                <w:rFonts w:ascii="Arial" w:hAnsi="Arial" w:cs="Arial"/>
                <w:sz w:val="22"/>
              </w:rPr>
              <w:t>,</w:t>
            </w:r>
            <w:r w:rsidR="00BF71F8" w:rsidRPr="00B871AC">
              <w:rPr>
                <w:rFonts w:ascii="Arial" w:hAnsi="Arial" w:cs="Arial"/>
                <w:sz w:val="22"/>
              </w:rPr>
              <w:t xml:space="preserve"> are</w:t>
            </w:r>
            <w:r w:rsidRPr="00B871AC">
              <w:rPr>
                <w:rFonts w:ascii="Arial" w:hAnsi="Arial" w:cs="Arial"/>
                <w:sz w:val="22"/>
              </w:rPr>
              <w:t xml:space="preserve"> a matter of opin</w:t>
            </w:r>
            <w:r w:rsidR="00A6592D" w:rsidRPr="00B871AC">
              <w:rPr>
                <w:rFonts w:ascii="Arial" w:hAnsi="Arial" w:cs="Arial"/>
                <w:sz w:val="22"/>
              </w:rPr>
              <w:t>i</w:t>
            </w:r>
            <w:r w:rsidRPr="00B871AC">
              <w:rPr>
                <w:rFonts w:ascii="Arial" w:hAnsi="Arial" w:cs="Arial"/>
                <w:sz w:val="22"/>
              </w:rPr>
              <w:t>on</w:t>
            </w:r>
            <w:r w:rsidR="008D50B6">
              <w:rPr>
                <w:rFonts w:ascii="Arial" w:hAnsi="Arial" w:cs="Arial"/>
                <w:sz w:val="22"/>
              </w:rPr>
              <w:t xml:space="preserve"> (</w:t>
            </w:r>
            <w:r w:rsidR="005A0CCF">
              <w:rPr>
                <w:rFonts w:ascii="Arial" w:hAnsi="Arial" w:cs="Arial"/>
                <w:sz w:val="22"/>
              </w:rPr>
              <w:t xml:space="preserve">and </w:t>
            </w:r>
            <w:r w:rsidR="008D50B6">
              <w:rPr>
                <w:rFonts w:ascii="Arial" w:hAnsi="Arial" w:cs="Arial"/>
                <w:sz w:val="22"/>
              </w:rPr>
              <w:t>people are entitled to personal opinions)</w:t>
            </w:r>
          </w:p>
        </w:tc>
        <w:tc>
          <w:tcPr>
            <w:tcW w:w="6408" w:type="dxa"/>
          </w:tcPr>
          <w:p w14:paraId="08E97A99" w14:textId="77777777" w:rsidR="009451C4" w:rsidRPr="00B871AC" w:rsidRDefault="009451C4">
            <w:pPr>
              <w:rPr>
                <w:rFonts w:ascii="Arial" w:hAnsi="Arial" w:cs="Arial"/>
                <w:sz w:val="22"/>
              </w:rPr>
            </w:pPr>
          </w:p>
        </w:tc>
      </w:tr>
      <w:tr w:rsidR="009451C4" w:rsidRPr="00B871AC" w14:paraId="242B1503" w14:textId="77777777" w:rsidTr="00B871AC">
        <w:trPr>
          <w:trHeight w:val="1790"/>
        </w:trPr>
        <w:tc>
          <w:tcPr>
            <w:tcW w:w="2448" w:type="dxa"/>
          </w:tcPr>
          <w:p w14:paraId="25942BC1" w14:textId="77777777" w:rsidR="009451C4" w:rsidRPr="00B871AC" w:rsidRDefault="008F5B18" w:rsidP="005A0CCF">
            <w:pPr>
              <w:rPr>
                <w:rFonts w:ascii="Arial" w:hAnsi="Arial" w:cs="Arial"/>
                <w:sz w:val="22"/>
              </w:rPr>
            </w:pPr>
            <w:r w:rsidRPr="00B871AC">
              <w:rPr>
                <w:rFonts w:ascii="Arial" w:hAnsi="Arial" w:cs="Arial"/>
                <w:sz w:val="22"/>
              </w:rPr>
              <w:t>Racism</w:t>
            </w:r>
            <w:r w:rsidR="00BF71F8" w:rsidRPr="00B871AC">
              <w:rPr>
                <w:rFonts w:ascii="Arial" w:hAnsi="Arial" w:cs="Arial"/>
                <w:sz w:val="22"/>
              </w:rPr>
              <w:t xml:space="preserve">, sexism, heterosexism, </w:t>
            </w:r>
            <w:r w:rsidR="005A0CCF">
              <w:rPr>
                <w:rFonts w:ascii="Arial" w:hAnsi="Arial" w:cs="Arial"/>
                <w:sz w:val="22"/>
              </w:rPr>
              <w:t>and so on</w:t>
            </w:r>
            <w:r w:rsidR="00BF71F8" w:rsidRPr="00B871AC">
              <w:rPr>
                <w:rFonts w:ascii="Arial" w:hAnsi="Arial" w:cs="Arial"/>
                <w:sz w:val="22"/>
              </w:rPr>
              <w:t xml:space="preserve"> exist</w:t>
            </w:r>
            <w:r w:rsidR="00A6592D" w:rsidRPr="00B871AC">
              <w:rPr>
                <w:rFonts w:ascii="Arial" w:hAnsi="Arial" w:cs="Arial"/>
                <w:sz w:val="22"/>
              </w:rPr>
              <w:t>,</w:t>
            </w:r>
            <w:r w:rsidRPr="00B871AC">
              <w:rPr>
                <w:rFonts w:ascii="Arial" w:hAnsi="Arial" w:cs="Arial"/>
                <w:sz w:val="22"/>
              </w:rPr>
              <w:t xml:space="preserve"> but only to an extent</w:t>
            </w:r>
            <w:r w:rsidR="008D50B6">
              <w:rPr>
                <w:rFonts w:ascii="Arial" w:hAnsi="Arial" w:cs="Arial"/>
                <w:sz w:val="22"/>
              </w:rPr>
              <w:t xml:space="preserve"> (minimizing)</w:t>
            </w:r>
          </w:p>
        </w:tc>
        <w:tc>
          <w:tcPr>
            <w:tcW w:w="6408" w:type="dxa"/>
          </w:tcPr>
          <w:p w14:paraId="405F5420" w14:textId="77777777" w:rsidR="009451C4" w:rsidRPr="00B871AC" w:rsidRDefault="009451C4">
            <w:pPr>
              <w:rPr>
                <w:rFonts w:ascii="Arial" w:hAnsi="Arial" w:cs="Arial"/>
                <w:sz w:val="22"/>
              </w:rPr>
            </w:pPr>
          </w:p>
        </w:tc>
      </w:tr>
      <w:tr w:rsidR="009451C4" w:rsidRPr="00B871AC" w14:paraId="001D7B93" w14:textId="77777777" w:rsidTr="00B871AC">
        <w:trPr>
          <w:trHeight w:val="1970"/>
        </w:trPr>
        <w:tc>
          <w:tcPr>
            <w:tcW w:w="2448" w:type="dxa"/>
          </w:tcPr>
          <w:p w14:paraId="23D1CF36" w14:textId="77777777" w:rsidR="009451C4" w:rsidRPr="00B871AC" w:rsidRDefault="008F5B18" w:rsidP="005A0CCF">
            <w:pPr>
              <w:rPr>
                <w:rFonts w:ascii="Arial" w:hAnsi="Arial" w:cs="Arial"/>
                <w:sz w:val="22"/>
              </w:rPr>
            </w:pPr>
            <w:r w:rsidRPr="00B871AC">
              <w:rPr>
                <w:rFonts w:ascii="Arial" w:hAnsi="Arial" w:cs="Arial"/>
                <w:sz w:val="22"/>
              </w:rPr>
              <w:t>Racism</w:t>
            </w:r>
            <w:r w:rsidR="00BF71F8" w:rsidRPr="00B871AC">
              <w:rPr>
                <w:rFonts w:ascii="Arial" w:hAnsi="Arial" w:cs="Arial"/>
                <w:sz w:val="22"/>
              </w:rPr>
              <w:t xml:space="preserve">, sexism, heterosexism, </w:t>
            </w:r>
            <w:r w:rsidR="005A0CCF">
              <w:rPr>
                <w:rFonts w:ascii="Arial" w:hAnsi="Arial" w:cs="Arial"/>
                <w:sz w:val="22"/>
              </w:rPr>
              <w:t>and so on</w:t>
            </w:r>
            <w:r w:rsidR="00BF71F8" w:rsidRPr="00B871AC">
              <w:rPr>
                <w:rFonts w:ascii="Arial" w:hAnsi="Arial" w:cs="Arial"/>
                <w:sz w:val="22"/>
              </w:rPr>
              <w:t xml:space="preserve"> exist</w:t>
            </w:r>
            <w:r w:rsidR="00A6592D" w:rsidRPr="00B871AC">
              <w:rPr>
                <w:rFonts w:ascii="Arial" w:hAnsi="Arial" w:cs="Arial"/>
                <w:sz w:val="22"/>
              </w:rPr>
              <w:t>,</w:t>
            </w:r>
            <w:r w:rsidRPr="00B871AC">
              <w:rPr>
                <w:rFonts w:ascii="Arial" w:hAnsi="Arial" w:cs="Arial"/>
                <w:sz w:val="22"/>
              </w:rPr>
              <w:t xml:space="preserve"> but </w:t>
            </w:r>
            <w:r w:rsidR="00BF71F8" w:rsidRPr="00B871AC">
              <w:rPr>
                <w:rFonts w:ascii="Arial" w:hAnsi="Arial" w:cs="Arial"/>
                <w:sz w:val="22"/>
              </w:rPr>
              <w:t>they</w:t>
            </w:r>
            <w:r w:rsidRPr="00B871AC">
              <w:rPr>
                <w:rFonts w:ascii="Arial" w:hAnsi="Arial" w:cs="Arial"/>
                <w:sz w:val="22"/>
              </w:rPr>
              <w:t xml:space="preserve"> </w:t>
            </w:r>
            <w:r w:rsidR="00BF71F8" w:rsidRPr="00B871AC">
              <w:rPr>
                <w:rFonts w:ascii="Arial" w:hAnsi="Arial" w:cs="Arial"/>
                <w:sz w:val="22"/>
              </w:rPr>
              <w:t>are</w:t>
            </w:r>
            <w:r w:rsidR="00A6592D" w:rsidRPr="00B871AC">
              <w:rPr>
                <w:rFonts w:ascii="Arial" w:hAnsi="Arial" w:cs="Arial"/>
                <w:sz w:val="22"/>
              </w:rPr>
              <w:t xml:space="preserve"> over</w:t>
            </w:r>
            <w:r w:rsidRPr="00B871AC">
              <w:rPr>
                <w:rFonts w:ascii="Arial" w:hAnsi="Arial" w:cs="Arial"/>
                <w:sz w:val="22"/>
              </w:rPr>
              <w:t>rated</w:t>
            </w:r>
            <w:r w:rsidR="008D50B6">
              <w:rPr>
                <w:rFonts w:ascii="Arial" w:hAnsi="Arial" w:cs="Arial"/>
                <w:sz w:val="22"/>
              </w:rPr>
              <w:t xml:space="preserve"> (not that extensive and minimally harmful)</w:t>
            </w:r>
          </w:p>
        </w:tc>
        <w:tc>
          <w:tcPr>
            <w:tcW w:w="6408" w:type="dxa"/>
          </w:tcPr>
          <w:p w14:paraId="43070A28" w14:textId="77777777" w:rsidR="009451C4" w:rsidRPr="00B871AC" w:rsidRDefault="009451C4">
            <w:pPr>
              <w:rPr>
                <w:rFonts w:ascii="Arial" w:hAnsi="Arial" w:cs="Arial"/>
                <w:sz w:val="22"/>
              </w:rPr>
            </w:pPr>
          </w:p>
        </w:tc>
      </w:tr>
      <w:tr w:rsidR="009451C4" w:rsidRPr="00B871AC" w14:paraId="636CE912" w14:textId="77777777" w:rsidTr="00B871AC">
        <w:trPr>
          <w:trHeight w:val="2150"/>
        </w:trPr>
        <w:tc>
          <w:tcPr>
            <w:tcW w:w="2448" w:type="dxa"/>
          </w:tcPr>
          <w:p w14:paraId="061A5E1E" w14:textId="77777777" w:rsidR="009451C4" w:rsidRPr="00B871AC" w:rsidRDefault="008F5B18" w:rsidP="005A0CCF">
            <w:pPr>
              <w:rPr>
                <w:rFonts w:ascii="Arial" w:hAnsi="Arial" w:cs="Arial"/>
                <w:sz w:val="22"/>
              </w:rPr>
            </w:pPr>
            <w:r w:rsidRPr="00B871AC">
              <w:rPr>
                <w:rFonts w:ascii="Arial" w:hAnsi="Arial" w:cs="Arial"/>
                <w:sz w:val="22"/>
              </w:rPr>
              <w:t>Racism</w:t>
            </w:r>
            <w:r w:rsidR="00BF71F8" w:rsidRPr="00B871AC">
              <w:rPr>
                <w:rFonts w:ascii="Arial" w:hAnsi="Arial" w:cs="Arial"/>
                <w:sz w:val="22"/>
              </w:rPr>
              <w:t xml:space="preserve">, sexism, heterosexism, </w:t>
            </w:r>
            <w:r w:rsidR="005A0CCF">
              <w:rPr>
                <w:rFonts w:ascii="Arial" w:hAnsi="Arial" w:cs="Arial"/>
                <w:sz w:val="22"/>
              </w:rPr>
              <w:t>and so on</w:t>
            </w:r>
            <w:r w:rsidR="00BF71F8" w:rsidRPr="00B871AC">
              <w:rPr>
                <w:rFonts w:ascii="Arial" w:hAnsi="Arial" w:cs="Arial"/>
                <w:sz w:val="22"/>
              </w:rPr>
              <w:t xml:space="preserve"> exist</w:t>
            </w:r>
            <w:r w:rsidR="00A6592D" w:rsidRPr="00B871AC">
              <w:rPr>
                <w:rFonts w:ascii="Arial" w:hAnsi="Arial" w:cs="Arial"/>
                <w:sz w:val="22"/>
              </w:rPr>
              <w:t>,</w:t>
            </w:r>
            <w:r w:rsidRPr="00B871AC">
              <w:rPr>
                <w:rFonts w:ascii="Arial" w:hAnsi="Arial" w:cs="Arial"/>
                <w:sz w:val="22"/>
              </w:rPr>
              <w:t xml:space="preserve"> but </w:t>
            </w:r>
            <w:r w:rsidR="00BF71F8" w:rsidRPr="00B871AC">
              <w:rPr>
                <w:rFonts w:ascii="Arial" w:hAnsi="Arial" w:cs="Arial"/>
                <w:sz w:val="22"/>
              </w:rPr>
              <w:t>they</w:t>
            </w:r>
            <w:r w:rsidRPr="00B871AC">
              <w:rPr>
                <w:rFonts w:ascii="Arial" w:hAnsi="Arial" w:cs="Arial"/>
                <w:sz w:val="22"/>
              </w:rPr>
              <w:t xml:space="preserve"> </w:t>
            </w:r>
            <w:r w:rsidR="00BF71F8" w:rsidRPr="00B871AC">
              <w:rPr>
                <w:rFonts w:ascii="Arial" w:hAnsi="Arial" w:cs="Arial"/>
                <w:sz w:val="22"/>
              </w:rPr>
              <w:t>are</w:t>
            </w:r>
            <w:r w:rsidRPr="00B871AC">
              <w:rPr>
                <w:rFonts w:ascii="Arial" w:hAnsi="Arial" w:cs="Arial"/>
                <w:sz w:val="22"/>
              </w:rPr>
              <w:t xml:space="preserve"> elsewhere</w:t>
            </w:r>
            <w:r w:rsidR="008D50B6">
              <w:rPr>
                <w:rFonts w:ascii="Arial" w:hAnsi="Arial" w:cs="Arial"/>
                <w:sz w:val="22"/>
              </w:rPr>
              <w:t xml:space="preserve"> (</w:t>
            </w:r>
            <w:r w:rsidR="007F1890">
              <w:rPr>
                <w:rFonts w:ascii="Arial" w:hAnsi="Arial" w:cs="Arial"/>
                <w:sz w:val="22"/>
              </w:rPr>
              <w:t>outside of oneself or one’s community)</w:t>
            </w:r>
          </w:p>
        </w:tc>
        <w:tc>
          <w:tcPr>
            <w:tcW w:w="6408" w:type="dxa"/>
          </w:tcPr>
          <w:p w14:paraId="3C9962B7" w14:textId="77777777" w:rsidR="009451C4" w:rsidRPr="00B871AC" w:rsidRDefault="009451C4">
            <w:pPr>
              <w:rPr>
                <w:rFonts w:ascii="Arial" w:hAnsi="Arial" w:cs="Arial"/>
                <w:sz w:val="22"/>
              </w:rPr>
            </w:pPr>
          </w:p>
        </w:tc>
      </w:tr>
    </w:tbl>
    <w:p w14:paraId="64364263" w14:textId="77777777" w:rsidR="00A6592D" w:rsidRDefault="009451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</w:t>
      </w:r>
    </w:p>
    <w:p w14:paraId="109DAA8E" w14:textId="77777777" w:rsidR="00BF71F8" w:rsidRDefault="00BF71F8">
      <w:pPr>
        <w:rPr>
          <w:rFonts w:ascii="Arial" w:hAnsi="Arial" w:cs="Arial"/>
          <w:sz w:val="22"/>
        </w:rPr>
      </w:pPr>
    </w:p>
    <w:p w14:paraId="53663B91" w14:textId="6DD5ABFB" w:rsidR="00BF71F8" w:rsidRPr="003E2067" w:rsidRDefault="003E2067" w:rsidP="003E2067">
      <w:pPr>
        <w:jc w:val="center"/>
        <w:rPr>
          <w:rFonts w:ascii="Arial" w:hAnsi="Arial" w:cs="Arial"/>
          <w:b/>
          <w:bCs/>
          <w:sz w:val="22"/>
        </w:rPr>
      </w:pPr>
      <w:r w:rsidRPr="003E2067">
        <w:rPr>
          <w:rFonts w:ascii="Arial" w:hAnsi="Arial" w:cs="Arial"/>
          <w:b/>
          <w:bCs/>
          <w:sz w:val="22"/>
        </w:rPr>
        <w:t>Reference</w:t>
      </w:r>
    </w:p>
    <w:p w14:paraId="3933ABFA" w14:textId="77777777" w:rsidR="003E2067" w:rsidRDefault="003E2067" w:rsidP="003E2067">
      <w:pPr>
        <w:jc w:val="center"/>
        <w:rPr>
          <w:rFonts w:ascii="Arial" w:hAnsi="Arial" w:cs="Arial"/>
          <w:sz w:val="22"/>
        </w:rPr>
      </w:pPr>
    </w:p>
    <w:p w14:paraId="14080DC8" w14:textId="77777777" w:rsidR="00BF71F8" w:rsidRPr="007F1890" w:rsidRDefault="00BF71F8" w:rsidP="00BF71F8">
      <w:pPr>
        <w:ind w:left="720" w:hanging="720"/>
        <w:rPr>
          <w:rFonts w:ascii="Arial" w:hAnsi="Arial" w:cs="Arial"/>
          <w:sz w:val="22"/>
          <w:szCs w:val="22"/>
        </w:rPr>
      </w:pPr>
      <w:r w:rsidRPr="007F1890">
        <w:rPr>
          <w:rFonts w:ascii="Arial" w:hAnsi="Arial" w:cs="Arial"/>
          <w:sz w:val="22"/>
          <w:szCs w:val="22"/>
        </w:rPr>
        <w:t>Smith, L., Constantine, M.</w:t>
      </w:r>
      <w:r w:rsidR="00A6592D" w:rsidRPr="007F1890">
        <w:rPr>
          <w:rFonts w:ascii="Arial" w:hAnsi="Arial" w:cs="Arial"/>
          <w:sz w:val="22"/>
          <w:szCs w:val="22"/>
        </w:rPr>
        <w:t xml:space="preserve"> </w:t>
      </w:r>
      <w:r w:rsidRPr="007F1890">
        <w:rPr>
          <w:rFonts w:ascii="Arial" w:hAnsi="Arial" w:cs="Arial"/>
          <w:sz w:val="22"/>
          <w:szCs w:val="22"/>
        </w:rPr>
        <w:t>G., Graham, S.</w:t>
      </w:r>
      <w:r w:rsidR="00A6592D" w:rsidRPr="007F1890">
        <w:rPr>
          <w:rFonts w:ascii="Arial" w:hAnsi="Arial" w:cs="Arial"/>
          <w:sz w:val="22"/>
          <w:szCs w:val="22"/>
        </w:rPr>
        <w:t xml:space="preserve"> </w:t>
      </w:r>
      <w:r w:rsidRPr="007F1890">
        <w:rPr>
          <w:rFonts w:ascii="Arial" w:hAnsi="Arial" w:cs="Arial"/>
          <w:sz w:val="22"/>
          <w:szCs w:val="22"/>
        </w:rPr>
        <w:t xml:space="preserve">V., </w:t>
      </w:r>
      <w:r w:rsidR="00A6592D" w:rsidRPr="007F1890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7F1890">
        <w:rPr>
          <w:rFonts w:ascii="Arial" w:hAnsi="Arial" w:cs="Arial"/>
          <w:sz w:val="22"/>
          <w:szCs w:val="22"/>
        </w:rPr>
        <w:t>Dize</w:t>
      </w:r>
      <w:proofErr w:type="spellEnd"/>
      <w:r w:rsidRPr="007F1890">
        <w:rPr>
          <w:rFonts w:ascii="Arial" w:hAnsi="Arial" w:cs="Arial"/>
          <w:sz w:val="22"/>
          <w:szCs w:val="22"/>
        </w:rPr>
        <w:t>, C.</w:t>
      </w:r>
      <w:r w:rsidR="00A6592D" w:rsidRPr="007F1890">
        <w:rPr>
          <w:rFonts w:ascii="Arial" w:hAnsi="Arial" w:cs="Arial"/>
          <w:sz w:val="22"/>
          <w:szCs w:val="22"/>
        </w:rPr>
        <w:t xml:space="preserve"> </w:t>
      </w:r>
      <w:r w:rsidRPr="007F1890">
        <w:rPr>
          <w:rFonts w:ascii="Arial" w:hAnsi="Arial" w:cs="Arial"/>
          <w:sz w:val="22"/>
          <w:szCs w:val="22"/>
        </w:rPr>
        <w:t xml:space="preserve">B. (2008). The territory ahead for multicultural competence: The 'spinning' of racism. </w:t>
      </w:r>
      <w:r w:rsidRPr="007F1890">
        <w:rPr>
          <w:rStyle w:val="publication1"/>
          <w:rFonts w:ascii="Arial" w:hAnsi="Arial" w:cs="Arial"/>
          <w:sz w:val="22"/>
          <w:szCs w:val="22"/>
        </w:rPr>
        <w:t>Professional Psychology: Research and Practice, 39</w:t>
      </w:r>
      <w:r w:rsidRPr="007F1890">
        <w:rPr>
          <w:rFonts w:ascii="Arial" w:hAnsi="Arial" w:cs="Arial"/>
          <w:sz w:val="22"/>
          <w:szCs w:val="22"/>
        </w:rPr>
        <w:t xml:space="preserve">(3), 337-345. </w:t>
      </w:r>
      <w:hyperlink r:id="rId7" w:history="1">
        <w:r w:rsidR="007F1890" w:rsidRPr="00AF3715">
          <w:rPr>
            <w:rStyle w:val="Hyperlink"/>
            <w:rFonts w:ascii="Arial" w:hAnsi="Arial" w:cs="Arial"/>
            <w:sz w:val="22"/>
            <w:szCs w:val="22"/>
          </w:rPr>
          <w:t>http://dx.doi.org/10.1037/0735-7028.39.3.337</w:t>
        </w:r>
      </w:hyperlink>
      <w:r w:rsidR="007F1890">
        <w:rPr>
          <w:rFonts w:ascii="Arial" w:hAnsi="Arial" w:cs="Arial"/>
          <w:sz w:val="22"/>
          <w:szCs w:val="22"/>
        </w:rPr>
        <w:t xml:space="preserve"> </w:t>
      </w:r>
    </w:p>
    <w:p w14:paraId="14057EE9" w14:textId="77777777" w:rsidR="00964D18" w:rsidRDefault="00964D18">
      <w:pPr>
        <w:rPr>
          <w:rFonts w:ascii="Arial" w:hAnsi="Arial" w:cs="Arial"/>
          <w:sz w:val="22"/>
        </w:rPr>
      </w:pPr>
    </w:p>
    <w:sectPr w:rsidR="00964D18" w:rsidSect="00E97D2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CF84" w14:textId="77777777" w:rsidR="00531DA8" w:rsidRDefault="00531DA8">
      <w:r>
        <w:separator/>
      </w:r>
    </w:p>
  </w:endnote>
  <w:endnote w:type="continuationSeparator" w:id="0">
    <w:p w14:paraId="72CC3F89" w14:textId="77777777" w:rsidR="00531DA8" w:rsidRDefault="0053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103E" w14:textId="77777777" w:rsidR="008D50B6" w:rsidRDefault="009725DB" w:rsidP="008D50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50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E274" w14:textId="77777777" w:rsidR="008D50B6" w:rsidRDefault="008D50B6" w:rsidP="008D50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3707" w14:textId="77777777" w:rsidR="008D50B6" w:rsidRPr="008D50B6" w:rsidRDefault="009725DB" w:rsidP="008D50B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8D50B6">
      <w:rPr>
        <w:rStyle w:val="PageNumber"/>
        <w:rFonts w:ascii="Arial" w:hAnsi="Arial" w:cs="Arial"/>
        <w:sz w:val="20"/>
        <w:szCs w:val="20"/>
      </w:rPr>
      <w:fldChar w:fldCharType="begin"/>
    </w:r>
    <w:r w:rsidR="008D50B6" w:rsidRPr="008D50B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D50B6">
      <w:rPr>
        <w:rStyle w:val="PageNumber"/>
        <w:rFonts w:ascii="Arial" w:hAnsi="Arial" w:cs="Arial"/>
        <w:sz w:val="20"/>
        <w:szCs w:val="20"/>
      </w:rPr>
      <w:fldChar w:fldCharType="separate"/>
    </w:r>
    <w:r w:rsidR="00500C9C">
      <w:rPr>
        <w:rStyle w:val="PageNumber"/>
        <w:rFonts w:ascii="Arial" w:hAnsi="Arial" w:cs="Arial"/>
        <w:noProof/>
        <w:sz w:val="20"/>
        <w:szCs w:val="20"/>
      </w:rPr>
      <w:t>1</w:t>
    </w:r>
    <w:r w:rsidRPr="008D50B6">
      <w:rPr>
        <w:rStyle w:val="PageNumber"/>
        <w:rFonts w:ascii="Arial" w:hAnsi="Arial" w:cs="Arial"/>
        <w:sz w:val="20"/>
        <w:szCs w:val="20"/>
      </w:rPr>
      <w:fldChar w:fldCharType="end"/>
    </w:r>
  </w:p>
  <w:p w14:paraId="7C5EC91A" w14:textId="72BA5E71" w:rsidR="008D50B6" w:rsidRPr="00FE79B8" w:rsidRDefault="00FE79B8" w:rsidP="00FE79B8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>
      <w:t xml:space="preserve">From </w:t>
    </w:r>
    <w:r>
      <w:rPr>
        <w:rStyle w:val="Emphasis"/>
      </w:rPr>
      <w:t>Culturally Responsive and Socially Just Counselling: Teaching and Learning Guide</w:t>
    </w:r>
    <w:r>
      <w:rPr>
        <w:rStyle w:val="Emphasis"/>
        <w:i w:val="0"/>
        <w:iCs w:val="0"/>
      </w:rPr>
      <w:t xml:space="preserve"> (2</w:t>
    </w:r>
    <w:r w:rsidRPr="00DF5731">
      <w:rPr>
        <w:rStyle w:val="Emphasis"/>
        <w:i w:val="0"/>
        <w:iCs w:val="0"/>
        <w:vertAlign w:val="superscript"/>
      </w:rPr>
      <w:t>nd</w:t>
    </w:r>
    <w:r>
      <w:rPr>
        <w:rStyle w:val="Emphasis"/>
        <w:i w:val="0"/>
        <w:iCs w:val="0"/>
      </w:rPr>
      <w:t xml:space="preserve"> ed.)</w:t>
    </w:r>
    <w:r>
      <w:rPr>
        <w:rStyle w:val="Emphasis"/>
      </w:rPr>
      <w:t xml:space="preserve">, </w:t>
    </w:r>
    <w:r>
      <w:t xml:space="preserve">by S. Collins, 2022. Counseling Concepts. </w:t>
    </w:r>
    <w:hyperlink r:id="rId1" w:anchor="spinning" w:history="1">
      <w:r>
        <w:rPr>
          <w:rStyle w:val="Hyperlink"/>
        </w:rPr>
        <w:t>https://crsjguide.pressbooks.com/chapter/cc4/#spinning</w:t>
      </w:r>
    </w:hyperlink>
    <w: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C9B6" w14:textId="77777777" w:rsidR="00531DA8" w:rsidRDefault="00531DA8">
      <w:r>
        <w:separator/>
      </w:r>
    </w:p>
  </w:footnote>
  <w:footnote w:type="continuationSeparator" w:id="0">
    <w:p w14:paraId="4E7E27A7" w14:textId="77777777" w:rsidR="00531DA8" w:rsidRDefault="0053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0AE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57B9"/>
    <w:multiLevelType w:val="hybridMultilevel"/>
    <w:tmpl w:val="2870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3441D"/>
    <w:multiLevelType w:val="hybridMultilevel"/>
    <w:tmpl w:val="14DA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018C"/>
    <w:multiLevelType w:val="hybridMultilevel"/>
    <w:tmpl w:val="E8F0E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6660F"/>
    <w:multiLevelType w:val="hybridMultilevel"/>
    <w:tmpl w:val="3B5A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828CE"/>
    <w:multiLevelType w:val="hybridMultilevel"/>
    <w:tmpl w:val="5882E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57FFC"/>
    <w:multiLevelType w:val="hybridMultilevel"/>
    <w:tmpl w:val="413E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CA0A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F1B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375DAE"/>
    <w:multiLevelType w:val="hybridMultilevel"/>
    <w:tmpl w:val="934A1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F5B1B"/>
    <w:multiLevelType w:val="hybridMultilevel"/>
    <w:tmpl w:val="06122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942617">
    <w:abstractNumId w:val="9"/>
  </w:num>
  <w:num w:numId="2" w16cid:durableId="1921600662">
    <w:abstractNumId w:val="1"/>
  </w:num>
  <w:num w:numId="3" w16cid:durableId="578707994">
    <w:abstractNumId w:val="8"/>
  </w:num>
  <w:num w:numId="4" w16cid:durableId="45643015">
    <w:abstractNumId w:val="7"/>
  </w:num>
  <w:num w:numId="5" w16cid:durableId="215049355">
    <w:abstractNumId w:val="3"/>
  </w:num>
  <w:num w:numId="6" w16cid:durableId="14772553">
    <w:abstractNumId w:val="6"/>
  </w:num>
  <w:num w:numId="7" w16cid:durableId="823201653">
    <w:abstractNumId w:val="2"/>
  </w:num>
  <w:num w:numId="8" w16cid:durableId="1381132560">
    <w:abstractNumId w:val="4"/>
  </w:num>
  <w:num w:numId="9" w16cid:durableId="706443762">
    <w:abstractNumId w:val="5"/>
  </w:num>
  <w:num w:numId="10" w16cid:durableId="18442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82"/>
    <w:rsid w:val="000E5AF9"/>
    <w:rsid w:val="001E209A"/>
    <w:rsid w:val="00291661"/>
    <w:rsid w:val="003E2067"/>
    <w:rsid w:val="00500C9C"/>
    <w:rsid w:val="00531DA8"/>
    <w:rsid w:val="005A0CCF"/>
    <w:rsid w:val="005D3682"/>
    <w:rsid w:val="00613170"/>
    <w:rsid w:val="006B6CE9"/>
    <w:rsid w:val="007F1890"/>
    <w:rsid w:val="008865A7"/>
    <w:rsid w:val="008D50B6"/>
    <w:rsid w:val="008F5B18"/>
    <w:rsid w:val="009451C4"/>
    <w:rsid w:val="00964D18"/>
    <w:rsid w:val="009725DB"/>
    <w:rsid w:val="00A6592D"/>
    <w:rsid w:val="00B871AC"/>
    <w:rsid w:val="00BF71F8"/>
    <w:rsid w:val="00CF6CEF"/>
    <w:rsid w:val="00E314B5"/>
    <w:rsid w:val="00E46E1B"/>
    <w:rsid w:val="00E61DC2"/>
    <w:rsid w:val="00E97D2A"/>
    <w:rsid w:val="00EA636A"/>
    <w:rsid w:val="00EC3B8C"/>
    <w:rsid w:val="00F62588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4FD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firstLine="36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4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71F8"/>
    <w:rPr>
      <w:strike w:val="0"/>
      <w:dstrike w:val="0"/>
      <w:color w:val="0000FF"/>
      <w:u w:val="none"/>
      <w:effect w:val="none"/>
    </w:rPr>
  </w:style>
  <w:style w:type="character" w:customStyle="1" w:styleId="publication1">
    <w:name w:val="publication1"/>
    <w:basedOn w:val="DefaultParagraphFont"/>
    <w:rsid w:val="00BF71F8"/>
    <w:rPr>
      <w:i/>
      <w:iCs/>
    </w:rPr>
  </w:style>
  <w:style w:type="character" w:styleId="FollowedHyperlink">
    <w:name w:val="FollowedHyperlink"/>
    <w:basedOn w:val="DefaultParagraphFont"/>
    <w:rsid w:val="007F189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E7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37/0735-7028.39.3.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VignetteBuilding Culturally-Sensitive Skills</vt:lpstr>
    </vt:vector>
  </TitlesOfParts>
  <Company>Athabasca University</Company>
  <LinksUpToDate>false</LinksUpToDate>
  <CharactersWithSpaces>1521</CharactersWithSpaces>
  <SharedDoc>false</SharedDoc>
  <HLinks>
    <vt:vector size="6" baseType="variant"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http://library.athabascau.ca/drr/redirect.php?id=34682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VignetteBuilding Culturally-Sensitive Skills</dc:title>
  <dc:creator>Athabasca University</dc:creator>
  <cp:lastModifiedBy>Sandra Collins</cp:lastModifiedBy>
  <cp:revision>2</cp:revision>
  <dcterms:created xsi:type="dcterms:W3CDTF">2022-12-13T19:32:00Z</dcterms:created>
  <dcterms:modified xsi:type="dcterms:W3CDTF">2022-12-13T19:32:00Z</dcterms:modified>
</cp:coreProperties>
</file>