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2950"/>
      </w:tblGrid>
      <w:tr w:rsidR="008744D3" w:rsidRPr="008744D3" w14:paraId="1271CC24" w14:textId="77777777" w:rsidTr="008744D3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017C23B0" w14:textId="77777777" w:rsidR="007F38CE" w:rsidRPr="008744D3" w:rsidRDefault="007F38CE" w:rsidP="0089018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Exercise </w:t>
            </w:r>
            <w:r w:rsidR="00C3519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5.6.2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C3519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Drafting Introductions</w:t>
            </w:r>
          </w:p>
        </w:tc>
      </w:tr>
    </w:tbl>
    <w:p w14:paraId="32B13335" w14:textId="77777777" w:rsidR="007F38CE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53064B16" w14:textId="77777777" w:rsidR="00926C40" w:rsidRPr="00926C40" w:rsidRDefault="00926C40" w:rsidP="00926C40">
      <w:pPr>
        <w:pStyle w:val="NormalWeb"/>
        <w:shd w:val="clear" w:color="auto" w:fill="FFFFFF"/>
        <w:spacing w:before="360" w:beforeAutospacing="0" w:after="0" w:afterAutospacing="0" w:line="360" w:lineRule="auto"/>
        <w:rPr>
          <w:rFonts w:ascii="Arial" w:hAnsi="Arial" w:cs="Arial"/>
          <w:color w:val="373D3F"/>
          <w:sz w:val="22"/>
          <w:szCs w:val="22"/>
        </w:rPr>
      </w:pPr>
      <w:r w:rsidRPr="00926C40">
        <w:rPr>
          <w:rFonts w:ascii="Arial" w:hAnsi="Arial" w:cs="Arial"/>
          <w:color w:val="373D3F"/>
          <w:sz w:val="22"/>
          <w:szCs w:val="22"/>
        </w:rPr>
        <w:t xml:space="preserve">Test your skills at building an effective introduction, drawing on the topic, </w:t>
      </w:r>
      <w:r>
        <w:rPr>
          <w:rFonts w:ascii="Arial" w:hAnsi="Arial" w:cs="Arial"/>
          <w:color w:val="373D3F"/>
          <w:sz w:val="22"/>
          <w:szCs w:val="22"/>
        </w:rPr>
        <w:t>objective</w:t>
      </w:r>
      <w:r w:rsidRPr="00926C40">
        <w:rPr>
          <w:rFonts w:ascii="Arial" w:hAnsi="Arial" w:cs="Arial"/>
          <w:color w:val="373D3F"/>
          <w:sz w:val="22"/>
          <w:szCs w:val="22"/>
        </w:rPr>
        <w:t>, and thesis statements below. Remember, you can be as creative as you like as long as the basics are clear and your creativity doesn’t impair the clarity of your writing.</w:t>
      </w:r>
    </w:p>
    <w:p w14:paraId="337B707C" w14:textId="77777777" w:rsidR="00926C40" w:rsidRDefault="00926C40" w:rsidP="00926C40"/>
    <w:p w14:paraId="21970CFB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770"/>
        <w:gridCol w:w="5785"/>
        <w:gridCol w:w="5623"/>
      </w:tblGrid>
      <w:tr w:rsidR="00C3519F" w:rsidRPr="00C3519F" w14:paraId="3FD8C9D5" w14:textId="77777777" w:rsidTr="00C3519F">
        <w:tc>
          <w:tcPr>
            <w:tcW w:w="1770" w:type="dxa"/>
            <w:shd w:val="clear" w:color="auto" w:fill="76923C" w:themeFill="accent3" w:themeFillShade="BF"/>
          </w:tcPr>
          <w:p w14:paraId="3AD9BB0C" w14:textId="77777777" w:rsidR="006E5F89" w:rsidRPr="00C3519F" w:rsidRDefault="00C3519F" w:rsidP="00A20EE3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3519F"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5785" w:type="dxa"/>
            <w:shd w:val="clear" w:color="auto" w:fill="76923C" w:themeFill="accent3" w:themeFillShade="BF"/>
          </w:tcPr>
          <w:p w14:paraId="4DE9883C" w14:textId="77777777" w:rsidR="006E5F89" w:rsidRPr="00C3519F" w:rsidRDefault="00C3519F" w:rsidP="00A20EE3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5623" w:type="dxa"/>
            <w:shd w:val="clear" w:color="auto" w:fill="76923C" w:themeFill="accent3" w:themeFillShade="BF"/>
          </w:tcPr>
          <w:p w14:paraId="131C4D93" w14:textId="77777777" w:rsidR="006E5F89" w:rsidRPr="00C3519F" w:rsidRDefault="00C3519F" w:rsidP="00A20EE3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Thesis Statement</w:t>
            </w:r>
          </w:p>
        </w:tc>
      </w:tr>
      <w:tr w:rsidR="006E5F89" w:rsidRPr="00086F27" w14:paraId="0B5AEF40" w14:textId="77777777" w:rsidTr="00A774C5">
        <w:tc>
          <w:tcPr>
            <w:tcW w:w="1770" w:type="dxa"/>
          </w:tcPr>
          <w:p w14:paraId="7AC3CA84" w14:textId="77777777" w:rsidR="006E5F89" w:rsidRPr="00086F27" w:rsidRDefault="00086F27" w:rsidP="00086F2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Nurse practitioner competencies</w:t>
            </w:r>
          </w:p>
        </w:tc>
        <w:tc>
          <w:tcPr>
            <w:tcW w:w="5785" w:type="dxa"/>
          </w:tcPr>
          <w:p w14:paraId="443D1780" w14:textId="77777777" w:rsidR="006E5F89" w:rsidRPr="00086F27" w:rsidRDefault="00086F27" w:rsidP="00086F2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To compare and contrast the nurse practitioner competencies with those of other health care providers.</w:t>
            </w:r>
          </w:p>
        </w:tc>
        <w:tc>
          <w:tcPr>
            <w:tcW w:w="5623" w:type="dxa"/>
          </w:tcPr>
          <w:p w14:paraId="76BB528D" w14:textId="77777777" w:rsidR="006E5F89" w:rsidRPr="00086F27" w:rsidRDefault="00086F27" w:rsidP="00086F27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Nurse practitioners fill an important gap in health care services by bringing a unique combination of competencies that build upon those of registered nurses.</w:t>
            </w:r>
          </w:p>
        </w:tc>
      </w:tr>
      <w:tr w:rsidR="00926C40" w:rsidRPr="00086F27" w14:paraId="1F66B6A0" w14:textId="77777777" w:rsidTr="000D6687">
        <w:tc>
          <w:tcPr>
            <w:tcW w:w="13178" w:type="dxa"/>
            <w:gridSpan w:val="3"/>
            <w:shd w:val="clear" w:color="auto" w:fill="76923C" w:themeFill="accent3" w:themeFillShade="BF"/>
          </w:tcPr>
          <w:p w14:paraId="3A991FD3" w14:textId="77777777" w:rsidR="00926C40" w:rsidRPr="00086F27" w:rsidRDefault="00926C40" w:rsidP="00926C4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</w:rPr>
              <w:t>Introduction</w:t>
            </w:r>
          </w:p>
        </w:tc>
      </w:tr>
      <w:tr w:rsidR="00926C40" w:rsidRPr="00086F27" w14:paraId="2F0AE5E9" w14:textId="77777777" w:rsidTr="00926C40">
        <w:trPr>
          <w:trHeight w:val="3539"/>
        </w:trPr>
        <w:tc>
          <w:tcPr>
            <w:tcW w:w="13178" w:type="dxa"/>
            <w:gridSpan w:val="3"/>
          </w:tcPr>
          <w:p w14:paraId="4278CADA" w14:textId="77777777" w:rsidR="00926C40" w:rsidRPr="00086F27" w:rsidRDefault="00926C40" w:rsidP="00926C40">
            <w:pPr>
              <w:spacing w:before="120" w:after="120" w:line="360" w:lineRule="auto"/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</w:pPr>
          </w:p>
        </w:tc>
      </w:tr>
    </w:tbl>
    <w:p w14:paraId="5022F7E1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688C6394" w14:textId="77777777" w:rsidR="00926C40" w:rsidRPr="00A20EE3" w:rsidRDefault="00926C40" w:rsidP="00926C40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770"/>
        <w:gridCol w:w="5785"/>
        <w:gridCol w:w="5623"/>
      </w:tblGrid>
      <w:tr w:rsidR="00926C40" w:rsidRPr="00C3519F" w14:paraId="1D10A5CF" w14:textId="77777777" w:rsidTr="00415D8D">
        <w:tc>
          <w:tcPr>
            <w:tcW w:w="1770" w:type="dxa"/>
            <w:shd w:val="clear" w:color="auto" w:fill="76923C" w:themeFill="accent3" w:themeFillShade="BF"/>
          </w:tcPr>
          <w:p w14:paraId="6CD513BB" w14:textId="77777777" w:rsidR="00926C40" w:rsidRPr="00C3519F" w:rsidRDefault="00926C40" w:rsidP="00415D8D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3519F"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5785" w:type="dxa"/>
            <w:shd w:val="clear" w:color="auto" w:fill="76923C" w:themeFill="accent3" w:themeFillShade="BF"/>
          </w:tcPr>
          <w:p w14:paraId="4562ED83" w14:textId="77777777" w:rsidR="00926C40" w:rsidRPr="00C3519F" w:rsidRDefault="00926C40" w:rsidP="00415D8D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5623" w:type="dxa"/>
            <w:shd w:val="clear" w:color="auto" w:fill="76923C" w:themeFill="accent3" w:themeFillShade="BF"/>
          </w:tcPr>
          <w:p w14:paraId="7F3E88BD" w14:textId="77777777" w:rsidR="00926C40" w:rsidRPr="00C3519F" w:rsidRDefault="00926C40" w:rsidP="00415D8D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Thesis Statement</w:t>
            </w:r>
          </w:p>
        </w:tc>
      </w:tr>
      <w:tr w:rsidR="00926C40" w:rsidRPr="00086F27" w14:paraId="585801D7" w14:textId="77777777" w:rsidTr="00415D8D">
        <w:tc>
          <w:tcPr>
            <w:tcW w:w="1770" w:type="dxa"/>
          </w:tcPr>
          <w:p w14:paraId="22B5C673" w14:textId="77777777" w:rsidR="00926C40" w:rsidRPr="00086F27" w:rsidRDefault="00926C40" w:rsidP="00415D8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Multicultural counselling and social justice</w:t>
            </w:r>
          </w:p>
        </w:tc>
        <w:tc>
          <w:tcPr>
            <w:tcW w:w="5785" w:type="dxa"/>
          </w:tcPr>
          <w:p w14:paraId="328AF1DC" w14:textId="43B3E2E1" w:rsidR="00926C40" w:rsidRPr="00086F27" w:rsidRDefault="00926C40" w:rsidP="00415D8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To evaluate the position</w:t>
            </w:r>
            <w:r w:rsidR="0022453D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s</w:t>
            </w: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 xml:space="preserve"> of multicultural counselling and social justice in the profession of counselling.</w:t>
            </w:r>
          </w:p>
        </w:tc>
        <w:tc>
          <w:tcPr>
            <w:tcW w:w="5623" w:type="dxa"/>
          </w:tcPr>
          <w:p w14:paraId="176D54B9" w14:textId="77777777" w:rsidR="00926C40" w:rsidRPr="00086F27" w:rsidRDefault="00926C40" w:rsidP="00415D8D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86F27"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  <w:t>Multicultural counselling and social justice are inextricably intertwined, and both are central to competent and ethical practice with all clients.</w:t>
            </w:r>
          </w:p>
        </w:tc>
      </w:tr>
      <w:tr w:rsidR="00926C40" w:rsidRPr="00086F27" w14:paraId="421F723D" w14:textId="77777777" w:rsidTr="00415D8D">
        <w:tc>
          <w:tcPr>
            <w:tcW w:w="13178" w:type="dxa"/>
            <w:gridSpan w:val="3"/>
            <w:shd w:val="clear" w:color="auto" w:fill="76923C" w:themeFill="accent3" w:themeFillShade="BF"/>
          </w:tcPr>
          <w:p w14:paraId="434B7DA1" w14:textId="77777777" w:rsidR="00926C40" w:rsidRPr="00086F27" w:rsidRDefault="00926C40" w:rsidP="00415D8D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Style w:val="Strong"/>
                <w:rFonts w:ascii="Arial" w:hAnsi="Arial" w:cs="Arial"/>
                <w:color w:val="FFFFFF" w:themeColor="background1"/>
              </w:rPr>
              <w:t>Introduction</w:t>
            </w:r>
          </w:p>
        </w:tc>
      </w:tr>
      <w:tr w:rsidR="00926C40" w:rsidRPr="00086F27" w14:paraId="6536DE11" w14:textId="77777777" w:rsidTr="00926C40">
        <w:trPr>
          <w:trHeight w:val="3460"/>
        </w:trPr>
        <w:tc>
          <w:tcPr>
            <w:tcW w:w="13178" w:type="dxa"/>
            <w:gridSpan w:val="3"/>
          </w:tcPr>
          <w:p w14:paraId="4B6E6574" w14:textId="77777777" w:rsidR="00926C40" w:rsidRPr="00086F27" w:rsidRDefault="00926C40" w:rsidP="00415D8D">
            <w:pPr>
              <w:spacing w:before="120" w:after="120" w:line="360" w:lineRule="auto"/>
              <w:rPr>
                <w:rFonts w:ascii="Arial" w:hAnsi="Arial" w:cs="Arial"/>
                <w:color w:val="373D3F"/>
                <w:sz w:val="22"/>
                <w:szCs w:val="22"/>
                <w:shd w:val="clear" w:color="auto" w:fill="FFFFFF"/>
              </w:rPr>
            </w:pPr>
          </w:p>
        </w:tc>
      </w:tr>
    </w:tbl>
    <w:p w14:paraId="04F22498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sectPr w:rsidR="007F38CE" w:rsidRPr="00A20EE3" w:rsidSect="00A87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6323" w14:textId="77777777" w:rsidR="00F2032F" w:rsidRDefault="00F2032F">
      <w:r>
        <w:separator/>
      </w:r>
    </w:p>
  </w:endnote>
  <w:endnote w:type="continuationSeparator" w:id="0">
    <w:p w14:paraId="7EF0DE1A" w14:textId="77777777" w:rsidR="00F2032F" w:rsidRDefault="00F2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6D6" w14:textId="77777777" w:rsidR="00656392" w:rsidRDefault="00ED67E4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0F5C78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10FF" w14:textId="77777777" w:rsidR="00656392" w:rsidRPr="00656392" w:rsidRDefault="00ED67E4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833759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4D9AE007" w14:textId="34EEE1FE" w:rsidR="00656392" w:rsidRDefault="006F139D" w:rsidP="006F139D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C57" w14:textId="77777777" w:rsidR="006F139D" w:rsidRDefault="006F1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C94C" w14:textId="77777777" w:rsidR="00F2032F" w:rsidRDefault="00F2032F">
      <w:r>
        <w:separator/>
      </w:r>
    </w:p>
  </w:footnote>
  <w:footnote w:type="continuationSeparator" w:id="0">
    <w:p w14:paraId="48F07FEE" w14:textId="77777777" w:rsidR="00F2032F" w:rsidRDefault="00F2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6D29" w14:textId="77777777" w:rsidR="006F139D" w:rsidRDefault="006F1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08AC" w14:textId="77777777" w:rsidR="006F139D" w:rsidRDefault="006F1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8BD1" w14:textId="77777777" w:rsidR="006F139D" w:rsidRDefault="006F1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029496">
    <w:abstractNumId w:val="13"/>
  </w:num>
  <w:num w:numId="2" w16cid:durableId="1474057695">
    <w:abstractNumId w:val="1"/>
  </w:num>
  <w:num w:numId="3" w16cid:durableId="1163812649">
    <w:abstractNumId w:val="12"/>
  </w:num>
  <w:num w:numId="4" w16cid:durableId="1429156377">
    <w:abstractNumId w:val="11"/>
  </w:num>
  <w:num w:numId="5" w16cid:durableId="675771054">
    <w:abstractNumId w:val="5"/>
  </w:num>
  <w:num w:numId="6" w16cid:durableId="1565488695">
    <w:abstractNumId w:val="9"/>
  </w:num>
  <w:num w:numId="7" w16cid:durableId="971444844">
    <w:abstractNumId w:val="3"/>
  </w:num>
  <w:num w:numId="8" w16cid:durableId="1401099787">
    <w:abstractNumId w:val="6"/>
  </w:num>
  <w:num w:numId="9" w16cid:durableId="1609005660">
    <w:abstractNumId w:val="8"/>
  </w:num>
  <w:num w:numId="10" w16cid:durableId="10685783">
    <w:abstractNumId w:val="0"/>
  </w:num>
  <w:num w:numId="11" w16cid:durableId="1575047122">
    <w:abstractNumId w:val="7"/>
  </w:num>
  <w:num w:numId="12" w16cid:durableId="1019699090">
    <w:abstractNumId w:val="15"/>
  </w:num>
  <w:num w:numId="13" w16cid:durableId="1563325806">
    <w:abstractNumId w:val="4"/>
  </w:num>
  <w:num w:numId="14" w16cid:durableId="812061157">
    <w:abstractNumId w:val="10"/>
  </w:num>
  <w:num w:numId="15" w16cid:durableId="185563749">
    <w:abstractNumId w:val="14"/>
  </w:num>
  <w:num w:numId="16" w16cid:durableId="1177573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4A03"/>
    <w:rsid w:val="0002769E"/>
    <w:rsid w:val="00086F27"/>
    <w:rsid w:val="00143F4D"/>
    <w:rsid w:val="0017772F"/>
    <w:rsid w:val="0022453D"/>
    <w:rsid w:val="002324E0"/>
    <w:rsid w:val="002751FE"/>
    <w:rsid w:val="00401969"/>
    <w:rsid w:val="00455B92"/>
    <w:rsid w:val="004D7057"/>
    <w:rsid w:val="00500A08"/>
    <w:rsid w:val="00535494"/>
    <w:rsid w:val="005426E3"/>
    <w:rsid w:val="005C24C1"/>
    <w:rsid w:val="00656392"/>
    <w:rsid w:val="006B18A5"/>
    <w:rsid w:val="006B1AE0"/>
    <w:rsid w:val="006E5F89"/>
    <w:rsid w:val="006F139D"/>
    <w:rsid w:val="006F7708"/>
    <w:rsid w:val="0073485D"/>
    <w:rsid w:val="00771A5D"/>
    <w:rsid w:val="007A2BB9"/>
    <w:rsid w:val="007B635D"/>
    <w:rsid w:val="007F38CE"/>
    <w:rsid w:val="00817A45"/>
    <w:rsid w:val="00827747"/>
    <w:rsid w:val="00833759"/>
    <w:rsid w:val="008744D3"/>
    <w:rsid w:val="0089018B"/>
    <w:rsid w:val="00890EED"/>
    <w:rsid w:val="00926C40"/>
    <w:rsid w:val="00941A1C"/>
    <w:rsid w:val="009541D9"/>
    <w:rsid w:val="00972E9B"/>
    <w:rsid w:val="009B12A6"/>
    <w:rsid w:val="009C3464"/>
    <w:rsid w:val="009C7360"/>
    <w:rsid w:val="009D2CAE"/>
    <w:rsid w:val="00A20EE3"/>
    <w:rsid w:val="00A21566"/>
    <w:rsid w:val="00A60B12"/>
    <w:rsid w:val="00A774C5"/>
    <w:rsid w:val="00A879A7"/>
    <w:rsid w:val="00AC69C0"/>
    <w:rsid w:val="00AE3A0A"/>
    <w:rsid w:val="00B40B25"/>
    <w:rsid w:val="00B66D39"/>
    <w:rsid w:val="00BA5A5B"/>
    <w:rsid w:val="00C07A9F"/>
    <w:rsid w:val="00C3519F"/>
    <w:rsid w:val="00CE5C6E"/>
    <w:rsid w:val="00D116CB"/>
    <w:rsid w:val="00D73161"/>
    <w:rsid w:val="00D95FDC"/>
    <w:rsid w:val="00E36B12"/>
    <w:rsid w:val="00E67275"/>
    <w:rsid w:val="00E871D1"/>
    <w:rsid w:val="00ED67E4"/>
    <w:rsid w:val="00F2032F"/>
    <w:rsid w:val="00F31280"/>
    <w:rsid w:val="00F509A0"/>
    <w:rsid w:val="00F8249B"/>
    <w:rsid w:val="00FA5B1D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919C15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A08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00A08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500A08"/>
    <w:pPr>
      <w:spacing w:line="480" w:lineRule="auto"/>
      <w:ind w:firstLine="720"/>
    </w:pPr>
  </w:style>
  <w:style w:type="paragraph" w:styleId="BodyTextIndent2">
    <w:name w:val="Body Text Indent 2"/>
    <w:basedOn w:val="Normal"/>
    <w:rsid w:val="00500A08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500A08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500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00A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A08"/>
  </w:style>
  <w:style w:type="table" w:styleId="TableGrid">
    <w:name w:val="Table Grid"/>
    <w:basedOn w:val="TableNormal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6C40"/>
    <w:pPr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semiHidden/>
    <w:unhideWhenUsed/>
    <w:rsid w:val="002245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4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453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4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453D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2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453D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D95FDC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95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4</cp:revision>
  <dcterms:created xsi:type="dcterms:W3CDTF">2020-02-11T19:33:00Z</dcterms:created>
  <dcterms:modified xsi:type="dcterms:W3CDTF">2023-02-06T17:37:00Z</dcterms:modified>
</cp:coreProperties>
</file>