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350"/>
      </w:tblGrid>
      <w:tr w:rsidR="007F38CE" w14:paraId="3137E2A8" w14:textId="77777777" w:rsidTr="00F45302">
        <w:trPr>
          <w:jc w:val="center"/>
        </w:trPr>
        <w:tc>
          <w:tcPr>
            <w:tcW w:w="13006" w:type="dxa"/>
            <w:shd w:val="clear" w:color="auto" w:fill="F79646" w:themeFill="accent6"/>
          </w:tcPr>
          <w:p w14:paraId="772DC051" w14:textId="77777777" w:rsidR="007F38CE" w:rsidRPr="00F45302" w:rsidRDefault="007F38CE" w:rsidP="0089018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F4530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73485D" w:rsidRPr="00F4530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Exercise </w:t>
            </w:r>
            <w:r w:rsidR="00F0189C" w:rsidRPr="00F4530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5.3.2</w:t>
            </w:r>
            <w:r w:rsidR="00AA0831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b</w:t>
            </w:r>
            <w:r w:rsidR="0073485D" w:rsidRPr="00F4530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6129E4" w:rsidRPr="006129E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Possible Responses</w:t>
            </w:r>
          </w:p>
        </w:tc>
      </w:tr>
    </w:tbl>
    <w:p w14:paraId="47FF0AFE" w14:textId="77777777" w:rsidR="007F38CE" w:rsidRPr="00A20EE3" w:rsidRDefault="007F38CE" w:rsidP="00A20EE3">
      <w:pPr>
        <w:spacing w:before="60" w:after="60"/>
        <w:rPr>
          <w:rFonts w:ascii="Arial" w:hAnsi="Arial" w:cs="Arial"/>
          <w:sz w:val="22"/>
          <w:szCs w:val="22"/>
        </w:rPr>
      </w:pPr>
    </w:p>
    <w:p w14:paraId="1E558273" w14:textId="77777777" w:rsidR="00AA0831" w:rsidRPr="00AA0831" w:rsidRDefault="006129E4" w:rsidP="006129E4">
      <w:pPr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6129E4">
        <w:rPr>
          <w:rFonts w:ascii="Arial" w:hAnsi="Arial" w:cs="Arial"/>
          <w:snapToGrid w:val="0"/>
          <w:sz w:val="22"/>
          <w:szCs w:val="22"/>
        </w:rPr>
        <w:t xml:space="preserve">Compare your responses to </w:t>
      </w:r>
      <w:r>
        <w:rPr>
          <w:rFonts w:ascii="Arial" w:hAnsi="Arial" w:cs="Arial"/>
          <w:snapToGrid w:val="0"/>
          <w:sz w:val="22"/>
          <w:szCs w:val="22"/>
        </w:rPr>
        <w:t>Exercise 5.3.2b</w:t>
      </w:r>
      <w:r w:rsidRPr="006129E4">
        <w:rPr>
          <w:rFonts w:ascii="Arial" w:hAnsi="Arial" w:cs="Arial"/>
          <w:snapToGrid w:val="0"/>
          <w:sz w:val="22"/>
          <w:szCs w:val="22"/>
        </w:rPr>
        <w:t xml:space="preserve"> with the examples below. There are no right answers! These are intended only to give you additional ideas and to help you out if you are stuck.  </w:t>
      </w:r>
      <w:r w:rsidR="00AA0831" w:rsidRPr="00AA0831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0831" w14:paraId="58989CBF" w14:textId="77777777" w:rsidTr="006129E4">
        <w:trPr>
          <w:trHeight w:val="548"/>
        </w:trPr>
        <w:tc>
          <w:tcPr>
            <w:tcW w:w="9350" w:type="dxa"/>
            <w:shd w:val="clear" w:color="auto" w:fill="76923C" w:themeFill="accent3" w:themeFillShade="BF"/>
          </w:tcPr>
          <w:p w14:paraId="517A36E4" w14:textId="77777777" w:rsidR="00AA0831" w:rsidRPr="00AA0831" w:rsidRDefault="00AA0831" w:rsidP="005B041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0831">
              <w:rPr>
                <w:rFonts w:ascii="Arial" w:hAnsi="Arial" w:cs="Arial"/>
                <w:b/>
                <w:color w:val="FFFFFF" w:themeColor="background1"/>
              </w:rPr>
              <w:t xml:space="preserve">Potential Problem </w:t>
            </w:r>
            <w:r w:rsidR="006129E4">
              <w:rPr>
                <w:rFonts w:ascii="Arial" w:hAnsi="Arial" w:cs="Arial"/>
                <w:b/>
                <w:color w:val="FFFFFF" w:themeColor="background1"/>
              </w:rPr>
              <w:t xml:space="preserve">or Thesis </w:t>
            </w:r>
            <w:r w:rsidRPr="00AA0831">
              <w:rPr>
                <w:rFonts w:ascii="Arial" w:hAnsi="Arial" w:cs="Arial"/>
                <w:b/>
                <w:color w:val="FFFFFF" w:themeColor="background1"/>
              </w:rPr>
              <w:t xml:space="preserve">Statements </w:t>
            </w:r>
          </w:p>
        </w:tc>
      </w:tr>
      <w:tr w:rsidR="00AA0831" w14:paraId="429ED6C6" w14:textId="77777777" w:rsidTr="006129E4">
        <w:tc>
          <w:tcPr>
            <w:tcW w:w="9350" w:type="dxa"/>
          </w:tcPr>
          <w:p w14:paraId="71C23602" w14:textId="77777777" w:rsidR="00AA0831" w:rsidRPr="009F5044" w:rsidRDefault="00AA0831" w:rsidP="006129E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9F5044">
              <w:rPr>
                <w:rFonts w:ascii="Arial" w:hAnsi="Arial" w:cs="Arial"/>
                <w:sz w:val="22"/>
                <w:szCs w:val="22"/>
              </w:rPr>
              <w:t xml:space="preserve">raduate programs </w:t>
            </w:r>
            <w:r>
              <w:rPr>
                <w:rFonts w:ascii="Arial" w:hAnsi="Arial" w:cs="Arial"/>
                <w:sz w:val="22"/>
                <w:szCs w:val="22"/>
              </w:rPr>
              <w:t xml:space="preserve">may inadvertently erect </w:t>
            </w:r>
            <w:r w:rsidRPr="009F5044">
              <w:rPr>
                <w:rFonts w:ascii="Arial" w:hAnsi="Arial" w:cs="Arial"/>
                <w:sz w:val="22"/>
                <w:szCs w:val="22"/>
              </w:rPr>
              <w:t xml:space="preserve">barriers to </w:t>
            </w:r>
            <w:r>
              <w:rPr>
                <w:rFonts w:ascii="Arial" w:hAnsi="Arial" w:cs="Arial"/>
                <w:sz w:val="22"/>
                <w:szCs w:val="22"/>
              </w:rPr>
              <w:t>student academic</w:t>
            </w:r>
            <w:r w:rsidRPr="009F5044">
              <w:rPr>
                <w:rFonts w:ascii="Arial" w:hAnsi="Arial" w:cs="Arial"/>
                <w:sz w:val="22"/>
                <w:szCs w:val="22"/>
              </w:rPr>
              <w:t xml:space="preserve"> and long-term career </w:t>
            </w:r>
            <w:r>
              <w:rPr>
                <w:rFonts w:ascii="Arial" w:hAnsi="Arial" w:cs="Arial"/>
                <w:sz w:val="22"/>
                <w:szCs w:val="22"/>
              </w:rPr>
              <w:t>success by</w:t>
            </w:r>
            <w:r w:rsidRPr="009F5044">
              <w:rPr>
                <w:rFonts w:ascii="Arial" w:hAnsi="Arial" w:cs="Arial"/>
                <w:sz w:val="22"/>
                <w:szCs w:val="22"/>
              </w:rPr>
              <w:t xml:space="preserve"> fail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Pr="009F5044">
              <w:rPr>
                <w:rFonts w:ascii="Arial" w:hAnsi="Arial" w:cs="Arial"/>
                <w:sz w:val="22"/>
                <w:szCs w:val="22"/>
              </w:rPr>
              <w:t xml:space="preserve"> to attend to </w:t>
            </w:r>
            <w:r>
              <w:rPr>
                <w:rFonts w:ascii="Arial" w:hAnsi="Arial" w:cs="Arial"/>
                <w:sz w:val="22"/>
                <w:szCs w:val="22"/>
              </w:rPr>
              <w:t>the struggles graduate students experience</w:t>
            </w:r>
            <w:r w:rsidRPr="009F5044">
              <w:rPr>
                <w:rFonts w:ascii="Arial" w:hAnsi="Arial" w:cs="Arial"/>
                <w:sz w:val="22"/>
                <w:szCs w:val="22"/>
              </w:rPr>
              <w:t xml:space="preserve"> manag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Pr="009F504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family, work, and other external demands</w:t>
            </w:r>
            <w:r w:rsidRPr="009F504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129E4" w14:paraId="05A732E6" w14:textId="77777777" w:rsidTr="006129E4">
        <w:trPr>
          <w:trHeight w:val="790"/>
        </w:trPr>
        <w:tc>
          <w:tcPr>
            <w:tcW w:w="9350" w:type="dxa"/>
          </w:tcPr>
          <w:p w14:paraId="62A24112" w14:textId="77777777" w:rsidR="006129E4" w:rsidRDefault="006129E4" w:rsidP="006129E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By taking a contextualized or systems level approach to understanding the challenges faced by students, graduate programs may be able to increase student retention and success. </w:t>
            </w:r>
          </w:p>
        </w:tc>
      </w:tr>
      <w:tr w:rsidR="006129E4" w14:paraId="28EE2F26" w14:textId="77777777" w:rsidTr="006129E4">
        <w:trPr>
          <w:trHeight w:val="1202"/>
        </w:trPr>
        <w:tc>
          <w:tcPr>
            <w:tcW w:w="9350" w:type="dxa"/>
          </w:tcPr>
          <w:p w14:paraId="7A584F7C" w14:textId="464791D6" w:rsidR="006129E4" w:rsidRDefault="006129E4" w:rsidP="006129E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Given the increased demands on graduate students (e.g., family, financial, </w:t>
            </w:r>
            <w:r w:rsidR="001D3690"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</w:rPr>
              <w:t xml:space="preserve">work pressures), the existing organizational structures and expectations of graduate counselling programs may need to be </w:t>
            </w:r>
            <w:r w:rsidR="001D3690">
              <w:rPr>
                <w:rFonts w:ascii="Arial" w:hAnsi="Arial" w:cs="Arial"/>
                <w:sz w:val="22"/>
                <w:szCs w:val="22"/>
              </w:rPr>
              <w:t>revised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6129E4" w14:paraId="3DDDF5C1" w14:textId="77777777" w:rsidTr="006129E4">
        <w:trPr>
          <w:trHeight w:val="810"/>
        </w:trPr>
        <w:tc>
          <w:tcPr>
            <w:tcW w:w="9350" w:type="dxa"/>
          </w:tcPr>
          <w:p w14:paraId="54939C3F" w14:textId="42B288FF" w:rsidR="006129E4" w:rsidRDefault="006129E4" w:rsidP="001D3690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Some graduate students seem to be more resilient and better able to manage the work-life-school challenges inherent in graduate education.</w:t>
            </w:r>
          </w:p>
        </w:tc>
      </w:tr>
    </w:tbl>
    <w:p w14:paraId="0729B0ED" w14:textId="77777777" w:rsidR="00AA0831" w:rsidRDefault="00AA0831" w:rsidP="00AA0831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65753655" w14:textId="77777777" w:rsidR="00AA0831" w:rsidRDefault="006129E4">
      <w:r>
        <w:rPr>
          <w:rFonts w:ascii="Arial" w:hAnsi="Arial" w:cs="Arial"/>
          <w:sz w:val="22"/>
          <w:szCs w:val="22"/>
        </w:rPr>
        <w:t xml:space="preserve">Continued on Page 2. </w:t>
      </w:r>
      <w:r w:rsidR="00AA083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AA0831" w:rsidRPr="00AA0831" w14:paraId="6444916A" w14:textId="77777777" w:rsidTr="00AA0831">
        <w:tc>
          <w:tcPr>
            <w:tcW w:w="4677" w:type="dxa"/>
            <w:shd w:val="clear" w:color="auto" w:fill="76923C" w:themeFill="accent3" w:themeFillShade="BF"/>
          </w:tcPr>
          <w:p w14:paraId="5CB24A98" w14:textId="77777777" w:rsidR="00AA0831" w:rsidRPr="00AA0831" w:rsidRDefault="00AA0831" w:rsidP="005B041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0831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Potential Problem Statements </w:t>
            </w:r>
          </w:p>
        </w:tc>
        <w:tc>
          <w:tcPr>
            <w:tcW w:w="4673" w:type="dxa"/>
            <w:shd w:val="clear" w:color="auto" w:fill="76923C" w:themeFill="accent3" w:themeFillShade="BF"/>
          </w:tcPr>
          <w:p w14:paraId="3EE4A2C1" w14:textId="77777777" w:rsidR="00AA0831" w:rsidRPr="00AA0831" w:rsidRDefault="00AA0831" w:rsidP="005B041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0831">
              <w:rPr>
                <w:rFonts w:ascii="Arial" w:hAnsi="Arial" w:cs="Arial"/>
                <w:b/>
                <w:color w:val="FFFFFF" w:themeColor="background1"/>
              </w:rPr>
              <w:t>Research Questions</w:t>
            </w:r>
          </w:p>
        </w:tc>
      </w:tr>
      <w:tr w:rsidR="00AA0831" w14:paraId="6B52DB50" w14:textId="77777777" w:rsidTr="00AA0831">
        <w:tc>
          <w:tcPr>
            <w:tcW w:w="4677" w:type="dxa"/>
          </w:tcPr>
          <w:p w14:paraId="358B7E67" w14:textId="77777777" w:rsidR="00AA0831" w:rsidRPr="009F5044" w:rsidRDefault="00AA0831" w:rsidP="006129E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9F5044">
              <w:rPr>
                <w:rFonts w:ascii="Arial" w:hAnsi="Arial" w:cs="Arial"/>
                <w:sz w:val="22"/>
                <w:szCs w:val="22"/>
              </w:rPr>
              <w:t xml:space="preserve">raduate programs </w:t>
            </w:r>
            <w:r>
              <w:rPr>
                <w:rFonts w:ascii="Arial" w:hAnsi="Arial" w:cs="Arial"/>
                <w:sz w:val="22"/>
                <w:szCs w:val="22"/>
              </w:rPr>
              <w:t xml:space="preserve">may inadvertently erect </w:t>
            </w:r>
            <w:r w:rsidRPr="009F5044">
              <w:rPr>
                <w:rFonts w:ascii="Arial" w:hAnsi="Arial" w:cs="Arial"/>
                <w:sz w:val="22"/>
                <w:szCs w:val="22"/>
              </w:rPr>
              <w:t xml:space="preserve">barriers to </w:t>
            </w:r>
            <w:r>
              <w:rPr>
                <w:rFonts w:ascii="Arial" w:hAnsi="Arial" w:cs="Arial"/>
                <w:sz w:val="22"/>
                <w:szCs w:val="22"/>
              </w:rPr>
              <w:t>student academic</w:t>
            </w:r>
            <w:r w:rsidRPr="009F5044">
              <w:rPr>
                <w:rFonts w:ascii="Arial" w:hAnsi="Arial" w:cs="Arial"/>
                <w:sz w:val="22"/>
                <w:szCs w:val="22"/>
              </w:rPr>
              <w:t xml:space="preserve"> and long-term career </w:t>
            </w:r>
            <w:r>
              <w:rPr>
                <w:rFonts w:ascii="Arial" w:hAnsi="Arial" w:cs="Arial"/>
                <w:sz w:val="22"/>
                <w:szCs w:val="22"/>
              </w:rPr>
              <w:t>success by</w:t>
            </w:r>
            <w:r w:rsidRPr="009F5044">
              <w:rPr>
                <w:rFonts w:ascii="Arial" w:hAnsi="Arial" w:cs="Arial"/>
                <w:sz w:val="22"/>
                <w:szCs w:val="22"/>
              </w:rPr>
              <w:t xml:space="preserve"> fail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Pr="009F5044">
              <w:rPr>
                <w:rFonts w:ascii="Arial" w:hAnsi="Arial" w:cs="Arial"/>
                <w:sz w:val="22"/>
                <w:szCs w:val="22"/>
              </w:rPr>
              <w:t xml:space="preserve"> to attend to </w:t>
            </w:r>
            <w:r>
              <w:rPr>
                <w:rFonts w:ascii="Arial" w:hAnsi="Arial" w:cs="Arial"/>
                <w:sz w:val="22"/>
                <w:szCs w:val="22"/>
              </w:rPr>
              <w:t>the struggles graduate students experience</w:t>
            </w:r>
            <w:r w:rsidRPr="009F5044">
              <w:rPr>
                <w:rFonts w:ascii="Arial" w:hAnsi="Arial" w:cs="Arial"/>
                <w:sz w:val="22"/>
                <w:szCs w:val="22"/>
              </w:rPr>
              <w:t xml:space="preserve"> manag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Pr="009F504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family, work, and other external demands</w:t>
            </w:r>
            <w:r w:rsidRPr="009F504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73" w:type="dxa"/>
          </w:tcPr>
          <w:p w14:paraId="437D08AA" w14:textId="77777777" w:rsidR="00AA0831" w:rsidRDefault="00AA0831" w:rsidP="006129E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do graduate counselling students perceive as barriers to their success both within their own lives and within graduate programs?</w:t>
            </w:r>
          </w:p>
          <w:p w14:paraId="2EC23408" w14:textId="40C2946F" w:rsidR="00AA0831" w:rsidRPr="009F5044" w:rsidRDefault="00AA0831" w:rsidP="006129E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what degree are the barriers to success faced by graduate counselling </w:t>
            </w:r>
            <w:r w:rsidR="00EF3F80">
              <w:rPr>
                <w:rFonts w:ascii="Arial" w:hAnsi="Arial" w:cs="Arial"/>
                <w:sz w:val="22"/>
                <w:szCs w:val="22"/>
              </w:rPr>
              <w:t>students</w:t>
            </w:r>
            <w:r>
              <w:rPr>
                <w:rFonts w:ascii="Arial" w:hAnsi="Arial" w:cs="Arial"/>
                <w:sz w:val="22"/>
                <w:szCs w:val="22"/>
              </w:rPr>
              <w:t xml:space="preserve"> a result of student factors versus program factors?</w:t>
            </w:r>
          </w:p>
        </w:tc>
      </w:tr>
      <w:tr w:rsidR="006129E4" w14:paraId="15971840" w14:textId="77777777" w:rsidTr="00AA0831">
        <w:trPr>
          <w:trHeight w:val="2884"/>
        </w:trPr>
        <w:tc>
          <w:tcPr>
            <w:tcW w:w="4677" w:type="dxa"/>
          </w:tcPr>
          <w:p w14:paraId="64B4860B" w14:textId="77777777" w:rsidR="006129E4" w:rsidRPr="009F5044" w:rsidRDefault="006129E4" w:rsidP="006129E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By taking a contextualized or systems level approach to understanding the challenges faced by students, graduate programs may be able to increase student retention and success. </w:t>
            </w:r>
          </w:p>
        </w:tc>
        <w:tc>
          <w:tcPr>
            <w:tcW w:w="4673" w:type="dxa"/>
          </w:tcPr>
          <w:p w14:paraId="7C87491B" w14:textId="77777777" w:rsidR="006129E4" w:rsidRDefault="006129E4" w:rsidP="006129E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are the specific contextual or systemic factors that impact graduate counselling students who withdraw early or struggle to succeed?</w:t>
            </w:r>
          </w:p>
          <w:p w14:paraId="6D0C8D56" w14:textId="77777777" w:rsidR="006129E4" w:rsidRDefault="006129E4" w:rsidP="006129E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does the concept of social justice play out in students’ perceptions of the demands and challenges of graduate school?  </w:t>
            </w:r>
          </w:p>
        </w:tc>
      </w:tr>
      <w:tr w:rsidR="006129E4" w14:paraId="4AE33727" w14:textId="77777777" w:rsidTr="00AA0831">
        <w:trPr>
          <w:trHeight w:val="2826"/>
        </w:trPr>
        <w:tc>
          <w:tcPr>
            <w:tcW w:w="4677" w:type="dxa"/>
          </w:tcPr>
          <w:p w14:paraId="608A1A67" w14:textId="2066D658" w:rsidR="006129E4" w:rsidRDefault="006129E4" w:rsidP="006129E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Given the increased demands on graduate students (e.g., family, financial, </w:t>
            </w:r>
            <w:r w:rsidR="001D3690"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</w:rPr>
              <w:t>work pressures), the existing organizational structures and expectations of graduate counselling programs may need to be revised.</w:t>
            </w:r>
          </w:p>
        </w:tc>
        <w:tc>
          <w:tcPr>
            <w:tcW w:w="4673" w:type="dxa"/>
          </w:tcPr>
          <w:p w14:paraId="2D23C260" w14:textId="77777777" w:rsidR="006129E4" w:rsidRDefault="006129E4" w:rsidP="006129E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are the similarities and differences between how students, instructors, and program administrators view barriers to success of graduate students?</w:t>
            </w:r>
          </w:p>
          <w:p w14:paraId="4FE4B85D" w14:textId="77777777" w:rsidR="006129E4" w:rsidRDefault="006129E4" w:rsidP="006129E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specific structures, practices, or expectations of graduate counselling programs do students identify as being the most difficult to work within or the most challenging to meet?</w:t>
            </w:r>
          </w:p>
          <w:p w14:paraId="1481994F" w14:textId="77777777" w:rsidR="006129E4" w:rsidRDefault="006129E4" w:rsidP="006129E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9E4" w14:paraId="22791384" w14:textId="77777777" w:rsidTr="00AA0831">
        <w:trPr>
          <w:trHeight w:val="2682"/>
        </w:trPr>
        <w:tc>
          <w:tcPr>
            <w:tcW w:w="4677" w:type="dxa"/>
          </w:tcPr>
          <w:p w14:paraId="09C7A9A4" w14:textId="6337A208" w:rsidR="006129E4" w:rsidRDefault="006129E4" w:rsidP="001D3690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Some graduate students seem more resilient and more able to manage the work-life-school challenges inherent in graduate education.</w:t>
            </w:r>
          </w:p>
        </w:tc>
        <w:tc>
          <w:tcPr>
            <w:tcW w:w="4673" w:type="dxa"/>
          </w:tcPr>
          <w:p w14:paraId="4BC39D38" w14:textId="77777777" w:rsidR="006129E4" w:rsidRDefault="006129E4" w:rsidP="006129E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personal characteristics, resources, or other factors distinguish successful from less successful graduate students?</w:t>
            </w:r>
          </w:p>
          <w:p w14:paraId="2A73405E" w14:textId="77777777" w:rsidR="006129E4" w:rsidRDefault="006129E4" w:rsidP="006129E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does the phenomenon of resilience play out in the personal and academic lives of graduate students?</w:t>
            </w:r>
          </w:p>
        </w:tc>
      </w:tr>
    </w:tbl>
    <w:p w14:paraId="19EE7FBA" w14:textId="77777777" w:rsidR="007F38CE" w:rsidRPr="00A20EE3" w:rsidRDefault="007F38CE" w:rsidP="00A20EE3">
      <w:pPr>
        <w:spacing w:before="60" w:after="60"/>
        <w:rPr>
          <w:rFonts w:ascii="Arial" w:hAnsi="Arial" w:cs="Arial"/>
          <w:sz w:val="22"/>
          <w:szCs w:val="22"/>
        </w:rPr>
      </w:pPr>
    </w:p>
    <w:sectPr w:rsidR="007F38CE" w:rsidRPr="00A20EE3" w:rsidSect="00AA083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0459" w14:textId="77777777" w:rsidR="009E7F00" w:rsidRDefault="009E7F00">
      <w:r>
        <w:separator/>
      </w:r>
    </w:p>
  </w:endnote>
  <w:endnote w:type="continuationSeparator" w:id="0">
    <w:p w14:paraId="2356D761" w14:textId="77777777" w:rsidR="009E7F00" w:rsidRDefault="009E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A9B5" w14:textId="77777777" w:rsidR="00656392" w:rsidRDefault="005C6436" w:rsidP="006563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63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34675C" w14:textId="77777777" w:rsidR="00656392" w:rsidRDefault="00656392" w:rsidP="006563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6F6C" w14:textId="77777777" w:rsidR="00656392" w:rsidRPr="00656392" w:rsidRDefault="005C6436" w:rsidP="0065639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656392">
      <w:rPr>
        <w:rStyle w:val="PageNumber"/>
        <w:rFonts w:ascii="Arial" w:hAnsi="Arial" w:cs="Arial"/>
        <w:sz w:val="20"/>
        <w:szCs w:val="20"/>
      </w:rPr>
      <w:fldChar w:fldCharType="begin"/>
    </w:r>
    <w:r w:rsidR="00656392" w:rsidRPr="0065639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56392">
      <w:rPr>
        <w:rStyle w:val="PageNumber"/>
        <w:rFonts w:ascii="Arial" w:hAnsi="Arial" w:cs="Arial"/>
        <w:sz w:val="20"/>
        <w:szCs w:val="20"/>
      </w:rPr>
      <w:fldChar w:fldCharType="separate"/>
    </w:r>
    <w:r w:rsidR="00876994">
      <w:rPr>
        <w:rStyle w:val="PageNumber"/>
        <w:rFonts w:ascii="Arial" w:hAnsi="Arial" w:cs="Arial"/>
        <w:noProof/>
        <w:sz w:val="20"/>
        <w:szCs w:val="20"/>
      </w:rPr>
      <w:t>1</w:t>
    </w:r>
    <w:r w:rsidRPr="00656392">
      <w:rPr>
        <w:rStyle w:val="PageNumber"/>
        <w:rFonts w:ascii="Arial" w:hAnsi="Arial" w:cs="Arial"/>
        <w:sz w:val="20"/>
        <w:szCs w:val="20"/>
      </w:rPr>
      <w:fldChar w:fldCharType="end"/>
    </w:r>
  </w:p>
  <w:p w14:paraId="24427C72" w14:textId="4DE3F619" w:rsidR="00656392" w:rsidRDefault="00292113" w:rsidP="00292113">
    <w:pPr>
      <w:pStyle w:val="Footer"/>
      <w:ind w:right="360"/>
      <w:rPr>
        <w:rFonts w:ascii="Arial" w:hAnsi="Arial" w:cs="Arial"/>
        <w:sz w:val="20"/>
        <w:szCs w:val="20"/>
      </w:rPr>
    </w:pPr>
    <w:r w:rsidRPr="00307BEB">
      <w:rPr>
        <w:rFonts w:ascii="Arial" w:hAnsi="Arial" w:cs="Arial"/>
        <w:sz w:val="20"/>
        <w:szCs w:val="20"/>
      </w:rPr>
      <w:t xml:space="preserve">From </w:t>
    </w:r>
    <w:r>
      <w:rPr>
        <w:rStyle w:val="Emphasis"/>
        <w:rFonts w:ascii="Arial" w:hAnsi="Arial" w:cs="Arial"/>
        <w:sz w:val="20"/>
        <w:szCs w:val="20"/>
      </w:rPr>
      <w:t>Professional Writing in the Health Disciplines</w:t>
    </w:r>
    <w:r w:rsidRPr="00307BEB">
      <w:rPr>
        <w:rStyle w:val="Emphasis"/>
        <w:rFonts w:ascii="Arial" w:hAnsi="Arial" w:cs="Arial"/>
        <w:sz w:val="20"/>
        <w:szCs w:val="20"/>
      </w:rPr>
      <w:t xml:space="preserve">, </w:t>
    </w:r>
    <w:r w:rsidRPr="00307BEB">
      <w:rPr>
        <w:rFonts w:ascii="Arial" w:hAnsi="Arial" w:cs="Arial"/>
        <w:sz w:val="20"/>
        <w:szCs w:val="20"/>
      </w:rPr>
      <w:t>by S. Collins, 2020. (</w:t>
    </w:r>
    <w:hyperlink r:id="rId1" w:tgtFrame="_blank" w:history="1">
      <w:r w:rsidRPr="00307BEB">
        <w:rPr>
          <w:rStyle w:val="Hyperlink"/>
          <w:rFonts w:ascii="Arial" w:hAnsi="Arial" w:cs="Arial"/>
          <w:sz w:val="20"/>
          <w:szCs w:val="20"/>
        </w:rPr>
        <w:t>https://pressbooks.pub/professionalwriting2</w:t>
      </w:r>
    </w:hyperlink>
    <w:r w:rsidRPr="00307BEB">
      <w:rPr>
        <w:rFonts w:ascii="Arial" w:hAnsi="Arial" w:cs="Arial"/>
        <w:sz w:val="20"/>
        <w:szCs w:val="20"/>
      </w:rPr>
      <w:t>). CC BY-NC-SA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56A26" w14:textId="77777777" w:rsidR="009E7F00" w:rsidRDefault="009E7F00">
      <w:r>
        <w:separator/>
      </w:r>
    </w:p>
  </w:footnote>
  <w:footnote w:type="continuationSeparator" w:id="0">
    <w:p w14:paraId="19D13B7E" w14:textId="77777777" w:rsidR="009E7F00" w:rsidRDefault="009E7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BA6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757B9"/>
    <w:multiLevelType w:val="hybridMultilevel"/>
    <w:tmpl w:val="2870A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B5FFD"/>
    <w:multiLevelType w:val="multilevel"/>
    <w:tmpl w:val="528E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3441D"/>
    <w:multiLevelType w:val="hybridMultilevel"/>
    <w:tmpl w:val="14DA3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2F589D"/>
    <w:multiLevelType w:val="multilevel"/>
    <w:tmpl w:val="9F9E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D018C"/>
    <w:multiLevelType w:val="hybridMultilevel"/>
    <w:tmpl w:val="E8F0E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A6660F"/>
    <w:multiLevelType w:val="hybridMultilevel"/>
    <w:tmpl w:val="3B5A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AE0E0F"/>
    <w:multiLevelType w:val="multilevel"/>
    <w:tmpl w:val="0FD2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828CE"/>
    <w:multiLevelType w:val="hybridMultilevel"/>
    <w:tmpl w:val="5882E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957FFC"/>
    <w:multiLevelType w:val="hybridMultilevel"/>
    <w:tmpl w:val="413E5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CA0A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646EA6"/>
    <w:multiLevelType w:val="multilevel"/>
    <w:tmpl w:val="46D2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8F1B9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4375DAE"/>
    <w:multiLevelType w:val="hybridMultilevel"/>
    <w:tmpl w:val="934A11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CE55C7"/>
    <w:multiLevelType w:val="hybridMultilevel"/>
    <w:tmpl w:val="D9E4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F5B1B"/>
    <w:multiLevelType w:val="hybridMultilevel"/>
    <w:tmpl w:val="061224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4D05BD"/>
    <w:multiLevelType w:val="multilevel"/>
    <w:tmpl w:val="B94A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2F31DE"/>
    <w:multiLevelType w:val="multilevel"/>
    <w:tmpl w:val="7832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4298312">
    <w:abstractNumId w:val="14"/>
  </w:num>
  <w:num w:numId="2" w16cid:durableId="1325352775">
    <w:abstractNumId w:val="1"/>
  </w:num>
  <w:num w:numId="3" w16cid:durableId="1622540508">
    <w:abstractNumId w:val="12"/>
  </w:num>
  <w:num w:numId="4" w16cid:durableId="1089425811">
    <w:abstractNumId w:val="11"/>
  </w:num>
  <w:num w:numId="5" w16cid:durableId="1686711874">
    <w:abstractNumId w:val="5"/>
  </w:num>
  <w:num w:numId="6" w16cid:durableId="1618484141">
    <w:abstractNumId w:val="9"/>
  </w:num>
  <w:num w:numId="7" w16cid:durableId="904803258">
    <w:abstractNumId w:val="3"/>
  </w:num>
  <w:num w:numId="8" w16cid:durableId="885222216">
    <w:abstractNumId w:val="6"/>
  </w:num>
  <w:num w:numId="9" w16cid:durableId="1194228229">
    <w:abstractNumId w:val="8"/>
  </w:num>
  <w:num w:numId="10" w16cid:durableId="762185038">
    <w:abstractNumId w:val="0"/>
  </w:num>
  <w:num w:numId="11" w16cid:durableId="253366056">
    <w:abstractNumId w:val="7"/>
  </w:num>
  <w:num w:numId="12" w16cid:durableId="1577670104">
    <w:abstractNumId w:val="16"/>
  </w:num>
  <w:num w:numId="13" w16cid:durableId="1062142792">
    <w:abstractNumId w:val="4"/>
  </w:num>
  <w:num w:numId="14" w16cid:durableId="119155277">
    <w:abstractNumId w:val="10"/>
  </w:num>
  <w:num w:numId="15" w16cid:durableId="1372069221">
    <w:abstractNumId w:val="15"/>
  </w:num>
  <w:num w:numId="16" w16cid:durableId="1967732421">
    <w:abstractNumId w:val="2"/>
  </w:num>
  <w:num w:numId="17" w16cid:durableId="2558635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2F"/>
    <w:rsid w:val="0002769E"/>
    <w:rsid w:val="00143F4D"/>
    <w:rsid w:val="0017772F"/>
    <w:rsid w:val="001A619F"/>
    <w:rsid w:val="001D3690"/>
    <w:rsid w:val="002324E0"/>
    <w:rsid w:val="00292113"/>
    <w:rsid w:val="002B480C"/>
    <w:rsid w:val="00330F0A"/>
    <w:rsid w:val="0039555F"/>
    <w:rsid w:val="00401969"/>
    <w:rsid w:val="00455B92"/>
    <w:rsid w:val="00512CF5"/>
    <w:rsid w:val="00535494"/>
    <w:rsid w:val="005426E3"/>
    <w:rsid w:val="00566B2C"/>
    <w:rsid w:val="005C24C1"/>
    <w:rsid w:val="005C6436"/>
    <w:rsid w:val="006129E4"/>
    <w:rsid w:val="00623549"/>
    <w:rsid w:val="00656392"/>
    <w:rsid w:val="006576A9"/>
    <w:rsid w:val="006B1AE0"/>
    <w:rsid w:val="006B2FAA"/>
    <w:rsid w:val="006C120E"/>
    <w:rsid w:val="006E5F89"/>
    <w:rsid w:val="006F7708"/>
    <w:rsid w:val="007311D8"/>
    <w:rsid w:val="0073485D"/>
    <w:rsid w:val="00771A5D"/>
    <w:rsid w:val="007B635D"/>
    <w:rsid w:val="007F0C1B"/>
    <w:rsid w:val="007F38CE"/>
    <w:rsid w:val="00827747"/>
    <w:rsid w:val="00863CDB"/>
    <w:rsid w:val="00876994"/>
    <w:rsid w:val="0089018B"/>
    <w:rsid w:val="00941A1C"/>
    <w:rsid w:val="009541D9"/>
    <w:rsid w:val="00972E9B"/>
    <w:rsid w:val="009C3464"/>
    <w:rsid w:val="009C7360"/>
    <w:rsid w:val="009D2CAE"/>
    <w:rsid w:val="009E7F00"/>
    <w:rsid w:val="00A20EE3"/>
    <w:rsid w:val="00A21566"/>
    <w:rsid w:val="00A60B12"/>
    <w:rsid w:val="00A774C5"/>
    <w:rsid w:val="00A85DFB"/>
    <w:rsid w:val="00A879A7"/>
    <w:rsid w:val="00AA0831"/>
    <w:rsid w:val="00AC69C0"/>
    <w:rsid w:val="00AE3A0A"/>
    <w:rsid w:val="00B05B2A"/>
    <w:rsid w:val="00B05FA6"/>
    <w:rsid w:val="00B27EED"/>
    <w:rsid w:val="00B40B25"/>
    <w:rsid w:val="00B55DC0"/>
    <w:rsid w:val="00B66D39"/>
    <w:rsid w:val="00BA5A5B"/>
    <w:rsid w:val="00BB1AF2"/>
    <w:rsid w:val="00BC5423"/>
    <w:rsid w:val="00C07A9F"/>
    <w:rsid w:val="00C337BE"/>
    <w:rsid w:val="00C7567E"/>
    <w:rsid w:val="00CE5C6E"/>
    <w:rsid w:val="00D116CB"/>
    <w:rsid w:val="00E36B12"/>
    <w:rsid w:val="00E67275"/>
    <w:rsid w:val="00E871D1"/>
    <w:rsid w:val="00EF3F80"/>
    <w:rsid w:val="00F0189C"/>
    <w:rsid w:val="00F45302"/>
    <w:rsid w:val="00F8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24DEE4"/>
  <w15:docId w15:val="{92ABDF4C-2789-304A-95C7-A2082091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6B2C"/>
    <w:rPr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6E5F89"/>
    <w:pPr>
      <w:spacing w:before="100" w:beforeAutospacing="1" w:after="100" w:afterAutospacing="1"/>
      <w:outlineLvl w:val="3"/>
    </w:pPr>
    <w:rPr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66B2C"/>
    <w:pPr>
      <w:widowControl w:val="0"/>
    </w:pPr>
    <w:rPr>
      <w:snapToGrid w:val="0"/>
      <w:szCs w:val="20"/>
    </w:rPr>
  </w:style>
  <w:style w:type="paragraph" w:styleId="BodyTextIndent">
    <w:name w:val="Body Text Indent"/>
    <w:basedOn w:val="Normal"/>
    <w:rsid w:val="00566B2C"/>
    <w:pPr>
      <w:spacing w:line="480" w:lineRule="auto"/>
      <w:ind w:firstLine="720"/>
    </w:pPr>
  </w:style>
  <w:style w:type="paragraph" w:styleId="BodyTextIndent2">
    <w:name w:val="Body Text Indent 2"/>
    <w:basedOn w:val="Normal"/>
    <w:rsid w:val="00566B2C"/>
    <w:pPr>
      <w:ind w:left="360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rsid w:val="00566B2C"/>
    <w:pPr>
      <w:ind w:firstLine="360"/>
    </w:pPr>
    <w:rPr>
      <w:rFonts w:ascii="Arial" w:hAnsi="Arial" w:cs="Arial"/>
      <w:sz w:val="22"/>
    </w:rPr>
  </w:style>
  <w:style w:type="paragraph" w:styleId="Header">
    <w:name w:val="header"/>
    <w:basedOn w:val="Normal"/>
    <w:rsid w:val="00566B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66B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6B2C"/>
  </w:style>
  <w:style w:type="table" w:styleId="TableGrid">
    <w:name w:val="Table Grid"/>
    <w:basedOn w:val="TableNormal"/>
    <w:uiPriority w:val="59"/>
    <w:rsid w:val="004827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E5F89"/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E5F89"/>
    <w:rPr>
      <w:b/>
      <w:bCs/>
    </w:rPr>
  </w:style>
  <w:style w:type="character" w:styleId="Emphasis">
    <w:name w:val="Emphasis"/>
    <w:basedOn w:val="DefaultParagraphFont"/>
    <w:uiPriority w:val="20"/>
    <w:qFormat/>
    <w:rsid w:val="00A20EE3"/>
    <w:rPr>
      <w:i/>
      <w:iCs/>
    </w:rPr>
  </w:style>
  <w:style w:type="paragraph" w:styleId="ListParagraph">
    <w:name w:val="List Paragraph"/>
    <w:basedOn w:val="Normal"/>
    <w:uiPriority w:val="34"/>
    <w:qFormat/>
    <w:rsid w:val="00AA0831"/>
    <w:pPr>
      <w:ind w:left="720"/>
      <w:contextualSpacing/>
    </w:pPr>
    <w:rPr>
      <w:noProof/>
      <w:lang w:val="en-CA"/>
    </w:rPr>
  </w:style>
  <w:style w:type="character" w:styleId="CommentReference">
    <w:name w:val="annotation reference"/>
    <w:basedOn w:val="DefaultParagraphFont"/>
    <w:semiHidden/>
    <w:unhideWhenUsed/>
    <w:rsid w:val="001D36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36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3690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3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3690"/>
    <w:rPr>
      <w:b/>
      <w:bCs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1D3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3690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rsid w:val="00512CF5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12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sbooks.pub/professionalwriting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VignetteBuilding Culturally-Sensitive Skills</vt:lpstr>
    </vt:vector>
  </TitlesOfParts>
  <Company>Athabasca University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VignetteBuilding Culturally-Sensitive Skills</dc:title>
  <dc:creator>Athabasca University</dc:creator>
  <cp:lastModifiedBy>Sandra Collins</cp:lastModifiedBy>
  <cp:revision>5</cp:revision>
  <dcterms:created xsi:type="dcterms:W3CDTF">2020-02-11T20:59:00Z</dcterms:created>
  <dcterms:modified xsi:type="dcterms:W3CDTF">2023-02-06T17:44:00Z</dcterms:modified>
</cp:coreProperties>
</file>